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C5" w:rsidRPr="00300F6E" w:rsidRDefault="00DC3886" w:rsidP="002431C5">
      <w:pPr>
        <w:pStyle w:val="Default"/>
        <w:spacing w:line="360" w:lineRule="auto"/>
        <w:jc w:val="both"/>
        <w:rPr>
          <w:b/>
          <w:noProof/>
          <w:color w:val="auto"/>
          <w:sz w:val="22"/>
          <w:szCs w:val="22"/>
          <w:lang w:val="en-ZA"/>
        </w:rPr>
      </w:pPr>
      <w:r>
        <w:rPr>
          <w:b/>
          <w:noProof/>
          <w:color w:val="auto"/>
          <w:sz w:val="22"/>
          <w:szCs w:val="22"/>
          <w:lang w:val="en-ZA"/>
        </w:rPr>
        <w:t xml:space="preserve">DRAFT </w:t>
      </w:r>
      <w:bookmarkStart w:id="0" w:name="_GoBack"/>
      <w:bookmarkEnd w:id="0"/>
      <w:r w:rsidR="002431C5" w:rsidRPr="00300F6E">
        <w:rPr>
          <w:b/>
          <w:noProof/>
          <w:color w:val="auto"/>
          <w:sz w:val="22"/>
          <w:szCs w:val="22"/>
          <w:lang w:val="en-ZA"/>
        </w:rPr>
        <w:t xml:space="preserve">ANNEXURE “A” </w:t>
      </w:r>
    </w:p>
    <w:p w:rsidR="002431C5" w:rsidRPr="00300F6E" w:rsidRDefault="002431C5" w:rsidP="002431C5">
      <w:pPr>
        <w:pStyle w:val="Default"/>
        <w:spacing w:line="360" w:lineRule="auto"/>
        <w:jc w:val="both"/>
        <w:rPr>
          <w:rFonts w:ascii="Arial" w:hAnsi="Arial" w:cs="Arial"/>
          <w:b/>
          <w:noProof/>
          <w:color w:val="auto"/>
          <w:sz w:val="22"/>
          <w:szCs w:val="22"/>
          <w:lang w:val="en-ZA"/>
        </w:rPr>
      </w:pPr>
    </w:p>
    <w:p w:rsidR="002431C5" w:rsidRPr="00300F6E" w:rsidRDefault="002431C5" w:rsidP="002431C5">
      <w:pPr>
        <w:pStyle w:val="Default"/>
        <w:spacing w:line="360" w:lineRule="auto"/>
        <w:jc w:val="both"/>
        <w:rPr>
          <w:rFonts w:ascii="Arial" w:hAnsi="Arial" w:cs="Arial"/>
          <w:b/>
          <w:noProof/>
          <w:color w:val="auto"/>
          <w:sz w:val="22"/>
          <w:szCs w:val="22"/>
          <w:lang w:val="en-ZA"/>
        </w:rPr>
      </w:pPr>
      <w:r w:rsidRPr="00300F6E">
        <w:rPr>
          <w:rFonts w:ascii="Arial" w:hAnsi="Arial" w:cs="Arial"/>
          <w:b/>
          <w:noProof/>
          <w:color w:val="auto"/>
          <w:sz w:val="22"/>
          <w:szCs w:val="22"/>
          <w:lang w:val="en-ZA"/>
        </w:rPr>
        <w:t xml:space="preserve">LEGAL REQUIREMENTS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The annexure does not cover the complete contents of the Property Rates Act, but focus on those requirements that are immediately relevant to a municipality’s rates policy. The provisions dealing with most of the valuation processes and with transitional arrangements are not covered in this annexure.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 POWER TO LEVY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metropolitan or local municipality may levy a rate on property in its municipal area.</w:t>
      </w:r>
    </w:p>
    <w:p w:rsidR="002431C5" w:rsidRPr="00300F6E" w:rsidRDefault="002431C5" w:rsidP="002431C5">
      <w:pPr>
        <w:pStyle w:val="Default"/>
        <w:rPr>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A municipality must exercise its power to levy a rate on property subject to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Section 229 and any other applicable provisions of the Constitution,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the provisions of the present Act, and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the rates policy it must adopt in terms of this Act.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3: ADOPTION AND CONTENTS OF RATES POLICY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The council of a municipality must adopt a policy consistent with the present Act on the levying of rates on rateable property in the municipality.</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Such a rates policy will take effect on the effective date of the first valuation roll prepared by the municipality in terms of the present Act, and such policy must accompany the municipality’s budget for the financial year concerned when that budget is tabled in the council in terms of the requirements of the Municipal Finance Management Act. </w:t>
      </w:r>
    </w:p>
    <w:p w:rsidR="002431C5" w:rsidRPr="00300F6E" w:rsidRDefault="002431C5" w:rsidP="002431C5">
      <w:pPr>
        <w:pStyle w:val="Default"/>
        <w:rPr>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A rates policy must: </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treat persons liable for rates equitably;</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determine the criteria to be applied by the municipality if it: </w:t>
      </w:r>
    </w:p>
    <w:p w:rsidR="002431C5" w:rsidRPr="00300F6E" w:rsidRDefault="002431C5" w:rsidP="002431C5">
      <w:pPr>
        <w:pStyle w:val="CM27"/>
        <w:spacing w:line="360" w:lineRule="auto"/>
        <w:ind w:left="144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 xml:space="preserve">levies different rates for different categories of property; </w:t>
      </w:r>
    </w:p>
    <w:p w:rsidR="002431C5" w:rsidRPr="00300F6E" w:rsidRDefault="002431C5" w:rsidP="002431C5">
      <w:pPr>
        <w:pStyle w:val="CM27"/>
        <w:spacing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exempts a specific category of owners of properties, or the owners of a specific category of properties, from payment of a rate on their properties; </w:t>
      </w:r>
    </w:p>
    <w:p w:rsidR="002431C5" w:rsidRPr="00300F6E" w:rsidRDefault="002431C5" w:rsidP="002431C5">
      <w:pPr>
        <w:pStyle w:val="CM27"/>
        <w:spacing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iii.</w:t>
      </w:r>
      <w:r w:rsidRPr="00300F6E">
        <w:rPr>
          <w:rFonts w:ascii="Arial" w:hAnsi="Arial" w:cs="Arial"/>
          <w:noProof/>
          <w:sz w:val="22"/>
          <w:szCs w:val="22"/>
          <w:lang w:val="en-ZA"/>
        </w:rPr>
        <w:tab/>
        <w:t>grants to a specific category of owners of properties, or to the owners of a specific category of properties, a rebate on or a reduction in the rate payable in respect of their properties;</w:t>
      </w:r>
    </w:p>
    <w:p w:rsidR="002431C5" w:rsidRPr="00300F6E" w:rsidRDefault="002431C5" w:rsidP="002431C5">
      <w:pPr>
        <w:pStyle w:val="CM27"/>
        <w:numPr>
          <w:ilvl w:val="0"/>
          <w:numId w:val="1"/>
        </w:numPr>
        <w:spacing w:line="360" w:lineRule="auto"/>
        <w:jc w:val="both"/>
        <w:rPr>
          <w:rFonts w:ascii="Arial" w:hAnsi="Arial" w:cs="Arial"/>
          <w:noProof/>
          <w:sz w:val="22"/>
          <w:szCs w:val="22"/>
          <w:lang w:val="en-ZA"/>
        </w:rPr>
      </w:pPr>
      <w:r w:rsidRPr="00300F6E">
        <w:rPr>
          <w:rFonts w:ascii="Arial" w:hAnsi="Arial" w:cs="Arial"/>
          <w:noProof/>
          <w:sz w:val="22"/>
          <w:szCs w:val="22"/>
          <w:lang w:val="en-ZA"/>
        </w:rPr>
        <w:t>or increases rates;</w:t>
      </w:r>
    </w:p>
    <w:p w:rsidR="002431C5" w:rsidRPr="00300F6E" w:rsidRDefault="002431C5" w:rsidP="002431C5">
      <w:pPr>
        <w:pStyle w:val="CM27"/>
        <w:spacing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determine or provide criteria for the determination of </w:t>
      </w:r>
    </w:p>
    <w:p w:rsidR="002431C5" w:rsidRPr="00300F6E" w:rsidRDefault="002431C5" w:rsidP="002431C5">
      <w:pPr>
        <w:pStyle w:val="CM27"/>
        <w:numPr>
          <w:ilvl w:val="0"/>
          <w:numId w:val="2"/>
        </w:numPr>
        <w:spacing w:line="360" w:lineRule="auto"/>
        <w:jc w:val="both"/>
        <w:rPr>
          <w:rFonts w:ascii="Arial" w:hAnsi="Arial" w:cs="Arial"/>
          <w:noProof/>
          <w:sz w:val="22"/>
          <w:szCs w:val="22"/>
          <w:lang w:val="en-ZA"/>
        </w:rPr>
      </w:pPr>
      <w:r w:rsidRPr="00300F6E">
        <w:rPr>
          <w:rFonts w:ascii="Arial" w:hAnsi="Arial" w:cs="Arial"/>
          <w:noProof/>
          <w:sz w:val="22"/>
          <w:szCs w:val="22"/>
          <w:lang w:val="en-ZA"/>
        </w:rPr>
        <w:lastRenderedPageBreak/>
        <w:t xml:space="preserve">categories of properties for the purposes of levying different rates, and </w:t>
      </w:r>
    </w:p>
    <w:p w:rsidR="002431C5" w:rsidRPr="00300F6E" w:rsidRDefault="002431C5" w:rsidP="002431C5">
      <w:pPr>
        <w:pStyle w:val="CM27"/>
        <w:numPr>
          <w:ilvl w:val="0"/>
          <w:numId w:val="2"/>
        </w:numPr>
        <w:spacing w:line="360" w:lineRule="auto"/>
        <w:jc w:val="both"/>
        <w:rPr>
          <w:rFonts w:ascii="Arial" w:hAnsi="Arial" w:cs="Arial"/>
          <w:noProof/>
          <w:sz w:val="22"/>
          <w:szCs w:val="22"/>
          <w:lang w:val="en-ZA"/>
        </w:rPr>
      </w:pPr>
      <w:r w:rsidRPr="00300F6E">
        <w:rPr>
          <w:rFonts w:ascii="Arial" w:hAnsi="Arial" w:cs="Arial"/>
          <w:noProof/>
          <w:sz w:val="22"/>
          <w:szCs w:val="22"/>
          <w:lang w:val="en-ZA"/>
        </w:rPr>
        <w:t>categories of owners of properties, or categories of properties, for the purpose of granting exemptions, rebates and reductions;</w:t>
      </w:r>
    </w:p>
    <w:p w:rsidR="002431C5" w:rsidRPr="00300F6E" w:rsidRDefault="002431C5" w:rsidP="002431C5">
      <w:pPr>
        <w:pStyle w:val="CM27"/>
        <w:spacing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determine how the municipality’s powers in terms of Section 9 must be exercised in relation to properties used for multiple purposes;</w:t>
      </w:r>
    </w:p>
    <w:p w:rsidR="002431C5" w:rsidRPr="00300F6E" w:rsidRDefault="002431C5" w:rsidP="002431C5">
      <w:pPr>
        <w:pStyle w:val="CM27"/>
        <w:numPr>
          <w:ilvl w:val="0"/>
          <w:numId w:val="3"/>
        </w:numPr>
        <w:spacing w:line="360" w:lineRule="auto"/>
        <w:jc w:val="both"/>
        <w:rPr>
          <w:rFonts w:ascii="Arial" w:hAnsi="Arial" w:cs="Arial"/>
          <w:noProof/>
          <w:sz w:val="22"/>
          <w:szCs w:val="22"/>
          <w:lang w:val="en-ZA"/>
        </w:rPr>
      </w:pPr>
      <w:r w:rsidRPr="00300F6E">
        <w:rPr>
          <w:rFonts w:ascii="Arial" w:hAnsi="Arial" w:cs="Arial"/>
          <w:noProof/>
          <w:sz w:val="22"/>
          <w:szCs w:val="22"/>
          <w:lang w:val="en-ZA"/>
        </w:rPr>
        <w:t xml:space="preserve">identify and quantify in terms of cost to the municipality and any benefit to the local community, </w:t>
      </w:r>
    </w:p>
    <w:p w:rsidR="002431C5" w:rsidRPr="00300F6E" w:rsidRDefault="002431C5" w:rsidP="002431C5">
      <w:pPr>
        <w:pStyle w:val="CM27"/>
        <w:numPr>
          <w:ilvl w:val="1"/>
          <w:numId w:val="3"/>
        </w:numPr>
        <w:spacing w:line="360" w:lineRule="auto"/>
        <w:jc w:val="both"/>
        <w:rPr>
          <w:rFonts w:ascii="Arial" w:hAnsi="Arial" w:cs="Arial"/>
          <w:noProof/>
          <w:sz w:val="22"/>
          <w:szCs w:val="22"/>
          <w:lang w:val="en-ZA"/>
        </w:rPr>
      </w:pPr>
      <w:r w:rsidRPr="00300F6E">
        <w:rPr>
          <w:rFonts w:ascii="Arial" w:hAnsi="Arial" w:cs="Arial"/>
          <w:noProof/>
          <w:sz w:val="22"/>
          <w:szCs w:val="22"/>
          <w:lang w:val="en-ZA"/>
        </w:rPr>
        <w:t>exemptions, rebates and reductions;</w:t>
      </w:r>
    </w:p>
    <w:p w:rsidR="002431C5" w:rsidRPr="00300F6E" w:rsidRDefault="002431C5" w:rsidP="002431C5">
      <w:pPr>
        <w:pStyle w:val="CM27"/>
        <w:numPr>
          <w:ilvl w:val="1"/>
          <w:numId w:val="3"/>
        </w:numPr>
        <w:spacing w:line="360" w:lineRule="auto"/>
        <w:jc w:val="both"/>
        <w:rPr>
          <w:rFonts w:ascii="Arial" w:hAnsi="Arial" w:cs="Arial"/>
          <w:noProof/>
          <w:sz w:val="22"/>
          <w:szCs w:val="22"/>
          <w:lang w:val="en-ZA"/>
        </w:rPr>
      </w:pPr>
      <w:r w:rsidRPr="00300F6E">
        <w:rPr>
          <w:rFonts w:ascii="Arial" w:hAnsi="Arial" w:cs="Arial"/>
          <w:noProof/>
          <w:sz w:val="22"/>
          <w:szCs w:val="22"/>
          <w:lang w:val="en-ZA"/>
        </w:rPr>
        <w:t xml:space="preserve">exclusions; and </w:t>
      </w:r>
    </w:p>
    <w:p w:rsidR="002431C5" w:rsidRPr="00300F6E" w:rsidRDefault="002431C5" w:rsidP="002431C5">
      <w:pPr>
        <w:pStyle w:val="CM27"/>
        <w:numPr>
          <w:ilvl w:val="1"/>
          <w:numId w:val="3"/>
        </w:numPr>
        <w:spacing w:line="360" w:lineRule="auto"/>
        <w:jc w:val="both"/>
        <w:rPr>
          <w:rFonts w:ascii="Arial" w:hAnsi="Arial" w:cs="Arial"/>
          <w:noProof/>
          <w:sz w:val="22"/>
          <w:szCs w:val="22"/>
          <w:lang w:val="en-ZA"/>
        </w:rPr>
      </w:pPr>
      <w:r w:rsidRPr="00300F6E">
        <w:rPr>
          <w:rFonts w:ascii="Arial" w:hAnsi="Arial" w:cs="Arial"/>
          <w:noProof/>
          <w:sz w:val="22"/>
          <w:szCs w:val="22"/>
          <w:lang w:val="en-ZA"/>
        </w:rPr>
        <w:t xml:space="preserve">rates on properties that must be phased in, in terms of Section 21;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(f)</w:t>
      </w:r>
      <w:r w:rsidRPr="00300F6E">
        <w:rPr>
          <w:rFonts w:ascii="Arial" w:hAnsi="Arial" w:cs="Arial"/>
          <w:noProof/>
          <w:sz w:val="22"/>
          <w:szCs w:val="22"/>
          <w:lang w:val="en-ZA"/>
        </w:rPr>
        <w:tab/>
        <w:t>take into account the effect of rates on the poor and include appropriate measures to alleviate the rates burden on them;</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(g)</w:t>
      </w:r>
      <w:r w:rsidRPr="00300F6E">
        <w:rPr>
          <w:rFonts w:ascii="Arial" w:hAnsi="Arial" w:cs="Arial"/>
          <w:noProof/>
          <w:sz w:val="22"/>
          <w:szCs w:val="22"/>
          <w:lang w:val="en-ZA"/>
        </w:rPr>
        <w:tab/>
        <w:t xml:space="preserve">take into account the effect of rates on organisations conducting specified public benefit activities and registered in terms of the Income Tax Act for tax reductions because of those activities, in the case of property owned and used by such organisations for those activities;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(h)</w:t>
      </w:r>
      <w:r w:rsidRPr="00300F6E">
        <w:rPr>
          <w:rFonts w:ascii="Arial" w:hAnsi="Arial" w:cs="Arial"/>
          <w:noProof/>
          <w:sz w:val="22"/>
          <w:szCs w:val="22"/>
          <w:lang w:val="en-ZA"/>
        </w:rPr>
        <w:tab/>
        <w:t>take into account the effect of rates on public service infrastructure;</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allow the municipality to promote local, social and economic development; 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(j)</w:t>
      </w:r>
      <w:r w:rsidRPr="00300F6E">
        <w:rPr>
          <w:rFonts w:ascii="Arial" w:hAnsi="Arial" w:cs="Arial"/>
          <w:noProof/>
          <w:sz w:val="22"/>
          <w:szCs w:val="22"/>
          <w:lang w:val="en-ZA"/>
        </w:rPr>
        <w:tab/>
        <w:t>identify, on a basis as may be prescribed, all rateable properties in a municipality that are not rated in terms of Section 7.</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(4)</w:t>
      </w:r>
      <w:r w:rsidRPr="00300F6E">
        <w:rPr>
          <w:rFonts w:ascii="Arial" w:hAnsi="Arial" w:cs="Arial"/>
          <w:noProof/>
          <w:sz w:val="22"/>
          <w:szCs w:val="22"/>
          <w:lang w:val="en-ZA"/>
        </w:rPr>
        <w:tab/>
        <w:t>When considering the criteria to be applied in respect of any exemptions, rebates and reductions on properties used for agricultural purposes, a municipality must take into account:</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the extent of services provided by the municipality in respect of such properties;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the contribution of agriculture to the local economy;</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the extent of which agriculture assists in meeting the service delivery and </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development obligations of the municipality; 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the contribution of agriculture to the social and economic welfare of farm workers.</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(5)</w:t>
      </w:r>
      <w:r w:rsidRPr="00300F6E">
        <w:rPr>
          <w:rFonts w:ascii="Arial" w:hAnsi="Arial" w:cs="Arial"/>
          <w:noProof/>
          <w:sz w:val="22"/>
          <w:szCs w:val="22"/>
          <w:lang w:val="en-ZA"/>
        </w:rPr>
        <w:tab/>
        <w:t>Any exemptions, rebates or reductions granted and provided for in the rates policy adopted by a municipality must comply and be implemented in accordance with a national framework that may be prescribed after consultation with organised local government.</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(6)</w:t>
      </w:r>
      <w:r w:rsidRPr="00300F6E">
        <w:rPr>
          <w:rFonts w:ascii="Arial" w:hAnsi="Arial" w:cs="Arial"/>
          <w:noProof/>
          <w:sz w:val="22"/>
          <w:szCs w:val="22"/>
          <w:lang w:val="en-ZA"/>
        </w:rPr>
        <w:tab/>
        <w:t>No municipality may grant relief in respect of the payment of rates to:</w:t>
      </w:r>
    </w:p>
    <w:p w:rsidR="002431C5" w:rsidRPr="00300F6E" w:rsidRDefault="002431C5" w:rsidP="002431C5">
      <w:pPr>
        <w:pStyle w:val="CM28"/>
        <w:spacing w:after="0" w:line="360" w:lineRule="auto"/>
        <w:ind w:left="1418" w:hanging="709"/>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a category of owners of properties, or to the owners of a category of properties, other than by way of an exemption, rebate or reduction as provided for in its rates policy and granted in terms of Section 15 of the present Act; or</w:t>
      </w:r>
    </w:p>
    <w:p w:rsidR="002431C5" w:rsidRPr="00300F6E" w:rsidRDefault="002431C5" w:rsidP="002431C5">
      <w:pPr>
        <w:pStyle w:val="CM28"/>
        <w:spacing w:after="0" w:line="360" w:lineRule="auto"/>
        <w:ind w:left="709"/>
        <w:jc w:val="both"/>
        <w:rPr>
          <w:rFonts w:ascii="Arial" w:hAnsi="Arial" w:cs="Arial"/>
          <w:noProof/>
          <w:sz w:val="22"/>
          <w:szCs w:val="22"/>
          <w:lang w:val="en-ZA"/>
        </w:rPr>
      </w:pPr>
      <w:r w:rsidRPr="00300F6E">
        <w:rPr>
          <w:rFonts w:ascii="Arial" w:hAnsi="Arial" w:cs="Arial"/>
          <w:noProof/>
          <w:sz w:val="22"/>
          <w:szCs w:val="22"/>
          <w:lang w:val="en-ZA"/>
        </w:rPr>
        <w:lastRenderedPageBreak/>
        <w:t>(b)</w:t>
      </w:r>
      <w:r w:rsidRPr="00300F6E">
        <w:rPr>
          <w:rFonts w:ascii="Arial" w:hAnsi="Arial" w:cs="Arial"/>
          <w:noProof/>
          <w:sz w:val="22"/>
          <w:szCs w:val="22"/>
          <w:lang w:val="en-ZA"/>
        </w:rPr>
        <w:tab/>
        <w:t>the owners of properties on an individual basis.</w:t>
      </w:r>
    </w:p>
    <w:p w:rsidR="002431C5" w:rsidRDefault="002431C5" w:rsidP="002431C5">
      <w:pPr>
        <w:pStyle w:val="CM28"/>
        <w:spacing w:after="0" w:line="360" w:lineRule="auto"/>
        <w:ind w:left="709"/>
        <w:jc w:val="both"/>
        <w:rPr>
          <w:rFonts w:ascii="Arial" w:hAnsi="Arial" w:cs="Arial"/>
          <w:b/>
          <w:noProof/>
          <w:sz w:val="22"/>
          <w:szCs w:val="22"/>
          <w:lang w:val="en-ZA"/>
        </w:rPr>
      </w:pPr>
    </w:p>
    <w:p w:rsidR="002431C5" w:rsidRPr="00300F6E" w:rsidRDefault="002431C5" w:rsidP="002431C5">
      <w:pPr>
        <w:pStyle w:val="CM28"/>
        <w:spacing w:after="0" w:line="360" w:lineRule="auto"/>
        <w:ind w:left="709"/>
        <w:jc w:val="both"/>
        <w:rPr>
          <w:rFonts w:ascii="Arial" w:hAnsi="Arial" w:cs="Arial"/>
          <w:b/>
          <w:noProof/>
          <w:sz w:val="22"/>
          <w:szCs w:val="22"/>
          <w:lang w:val="en-ZA"/>
        </w:rPr>
      </w:pPr>
      <w:r w:rsidRPr="00300F6E">
        <w:rPr>
          <w:rFonts w:ascii="Arial" w:hAnsi="Arial" w:cs="Arial"/>
          <w:b/>
          <w:noProof/>
          <w:sz w:val="22"/>
          <w:szCs w:val="22"/>
          <w:lang w:val="en-ZA"/>
        </w:rPr>
        <w:t xml:space="preserve">SECTION 4: COMMUNITY PARTICIPATION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Before a municipality adopts its rates policy, the municipality must</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follow the process of community participation envisaged in Chapter 4 of the Municipal Systems Act; and</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comply with the following requirements, as set out below.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municipal manager of the municipality must: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conspicuously display the draft rates policy for a period of at least 30 days </w:t>
      </w:r>
    </w:p>
    <w:p w:rsidR="002431C5" w:rsidRPr="00300F6E" w:rsidRDefault="002431C5" w:rsidP="002431C5">
      <w:pPr>
        <w:pStyle w:val="CM28"/>
        <w:numPr>
          <w:ilvl w:val="0"/>
          <w:numId w:val="5"/>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at the municipality’s head and satellite offices and libraries, and</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if the municipality has an official website or a website available to it, on that website as well; and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advertise in the media a notice </w:t>
      </w:r>
    </w:p>
    <w:p w:rsidR="002431C5" w:rsidRPr="00300F6E" w:rsidRDefault="002431C5" w:rsidP="002431C5">
      <w:pPr>
        <w:pStyle w:val="CM28"/>
        <w:numPr>
          <w:ilvl w:val="0"/>
          <w:numId w:val="6"/>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stating that</w:t>
      </w:r>
    </w:p>
    <w:p w:rsidR="002431C5" w:rsidRPr="00300F6E" w:rsidRDefault="002431C5" w:rsidP="002431C5">
      <w:pPr>
        <w:pStyle w:val="CM28"/>
        <w:numPr>
          <w:ilvl w:val="1"/>
          <w:numId w:val="2"/>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a draft rates policy has been prepared for submission to the council, and</w:t>
      </w:r>
    </w:p>
    <w:p w:rsidR="002431C5" w:rsidRPr="00300F6E" w:rsidRDefault="002431C5" w:rsidP="002431C5">
      <w:pPr>
        <w:pStyle w:val="CM28"/>
        <w:numPr>
          <w:ilvl w:val="1"/>
          <w:numId w:val="2"/>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that such policy is available at the various municipal offices for public inspection, and (where applicable) is also available on the relevant website; and </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inviting the local community to submit comments and representations to the municipality within a period specified in the notice, but which period shall not be less than 30 days.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The council must take all comments and representations made to it into account when it considers the draft rates policy.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5: ANNUAL REVIEW OF RATES POLICY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The council must annually review, and – if needed – amend its rates policy. Any amendments to the rates policy must accompany the municipality’s annual budget when it is tabled in the council in terms of the Municipal Finance Management Act.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When the council decides to amend the rates policy, community participation must be allowed for as part of the municipality’s annual budget process.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6: BY-LAWS TO GIVE EFFECT TO RATES POLICY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must adopt by-laws to give effect to the implementation of its rates policy, </w:t>
      </w: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such by-laws may differentiate between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different categories of properties, and</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different categories of owners of properties liable for the payment of rates.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7: RATES TO BE LEVIED ON ALL RATEABLE PROPERTY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When levying rates a municipality must levy such rates on all rateable property in its area,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is nevertheless</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not obliged to levy rates on:</w:t>
      </w:r>
    </w:p>
    <w:p w:rsidR="002431C5" w:rsidRPr="00300F6E" w:rsidRDefault="002431C5" w:rsidP="002431C5">
      <w:pPr>
        <w:pStyle w:val="CM28"/>
        <w:numPr>
          <w:ilvl w:val="0"/>
          <w:numId w:val="7"/>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properties of which the municipality itself is the owner; </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public service infrastructure owned by a municipal entity; </w:t>
      </w:r>
    </w:p>
    <w:p w:rsidR="002431C5" w:rsidRPr="00300F6E" w:rsidRDefault="002431C5" w:rsidP="002431C5">
      <w:pPr>
        <w:pStyle w:val="CM28"/>
        <w:numPr>
          <w:ilvl w:val="0"/>
          <w:numId w:val="2"/>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rights registered against immovable property in the name of a person; </w:t>
      </w:r>
    </w:p>
    <w:p w:rsidR="002431C5" w:rsidRPr="00300F6E" w:rsidRDefault="002431C5" w:rsidP="002431C5">
      <w:pPr>
        <w:pStyle w:val="CM28"/>
        <w:numPr>
          <w:ilvl w:val="0"/>
          <w:numId w:val="2"/>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properties in respect of which it is impossible or unreasonably difficult to establish market value because of legally insecure tenure attributable to past racially discriminatory laws or practices.</w:t>
      </w:r>
    </w:p>
    <w:p w:rsidR="002431C5" w:rsidRPr="00300F6E" w:rsidRDefault="002431C5" w:rsidP="002431C5">
      <w:pPr>
        <w:pStyle w:val="Default"/>
        <w:spacing w:line="360" w:lineRule="auto"/>
        <w:ind w:left="1440" w:hanging="720"/>
        <w:jc w:val="both"/>
        <w:rPr>
          <w:rFonts w:ascii="Arial" w:hAnsi="Arial" w:cs="Arial"/>
          <w:noProof/>
          <w:color w:val="auto"/>
          <w:sz w:val="22"/>
          <w:szCs w:val="22"/>
          <w:lang w:val="en-ZA"/>
        </w:rPr>
      </w:pPr>
      <w:r w:rsidRPr="00300F6E">
        <w:rPr>
          <w:rFonts w:ascii="Arial" w:hAnsi="Arial" w:cs="Arial"/>
          <w:noProof/>
          <w:color w:val="auto"/>
          <w:sz w:val="22"/>
          <w:szCs w:val="22"/>
          <w:lang w:val="en-ZA"/>
        </w:rPr>
        <w:t>(b)</w:t>
      </w:r>
      <w:r w:rsidRPr="00300F6E">
        <w:rPr>
          <w:rFonts w:ascii="Arial" w:hAnsi="Arial" w:cs="Arial"/>
          <w:noProof/>
          <w:color w:val="auto"/>
          <w:sz w:val="22"/>
          <w:szCs w:val="22"/>
          <w:lang w:val="en-ZA"/>
        </w:rPr>
        <w:tab/>
        <w:t>The requirement to levy rates on all rateable properties does not prevent a municipality from granting exemptions from rebates on or reductions in rates levied.</w:t>
      </w:r>
    </w:p>
    <w:p w:rsidR="002431C5" w:rsidRPr="00300F6E" w:rsidRDefault="002431C5" w:rsidP="002431C5">
      <w:pPr>
        <w:pStyle w:val="Default"/>
        <w:spacing w:line="360" w:lineRule="auto"/>
        <w:ind w:left="720"/>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8: DIFFERENTIAL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municipality may in terms of the criteria set out in its rates policy levy different rates for different categories of rateable property, and these categories may be determined according to the:</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use of the property;</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permitted use of the property; or</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Categories of rateable property that may be determined include the following: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residential properties</w:t>
      </w: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 </w:t>
      </w:r>
      <w:r w:rsidRPr="00300F6E">
        <w:rPr>
          <w:rFonts w:ascii="Arial" w:hAnsi="Arial" w:cs="Arial"/>
          <w:noProof/>
          <w:sz w:val="22"/>
          <w:szCs w:val="22"/>
          <w:lang w:val="en-ZA"/>
        </w:rPr>
        <w:tab/>
        <w:t>(b)</w:t>
      </w:r>
      <w:r w:rsidRPr="00300F6E">
        <w:rPr>
          <w:rFonts w:ascii="Arial" w:hAnsi="Arial" w:cs="Arial"/>
          <w:noProof/>
          <w:sz w:val="22"/>
          <w:szCs w:val="22"/>
          <w:lang w:val="en-ZA"/>
        </w:rPr>
        <w:tab/>
        <w:t xml:space="preserve">industrial properties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business and commercial properties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farm properties used for:</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agricultural purposes;</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 other business and commercial purposes</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iii.</w:t>
      </w:r>
      <w:r w:rsidRPr="00300F6E">
        <w:rPr>
          <w:rFonts w:ascii="Arial" w:hAnsi="Arial" w:cs="Arial"/>
          <w:noProof/>
          <w:sz w:val="22"/>
          <w:szCs w:val="22"/>
          <w:lang w:val="en-ZA"/>
        </w:rPr>
        <w:tab/>
        <w:t>residential purposes</w:t>
      </w:r>
    </w:p>
    <w:p w:rsidR="002431C5" w:rsidRPr="00300F6E" w:rsidRDefault="002431C5" w:rsidP="002431C5">
      <w:pPr>
        <w:pStyle w:val="CM28"/>
        <w:numPr>
          <w:ilvl w:val="0"/>
          <w:numId w:val="2"/>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purposes other than those specified above </w:t>
      </w:r>
    </w:p>
    <w:p w:rsidR="002431C5" w:rsidRPr="00300F6E" w:rsidRDefault="002431C5" w:rsidP="002431C5">
      <w:pPr>
        <w:pStyle w:val="CM28"/>
        <w:numPr>
          <w:ilvl w:val="0"/>
          <w:numId w:val="4"/>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farm properties not used for any purpose smallholdings used for:</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agricultural purposes</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 residential purposes</w:t>
      </w: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 </w:t>
      </w:r>
      <w:r w:rsidRPr="00300F6E">
        <w:rPr>
          <w:rFonts w:ascii="Arial" w:hAnsi="Arial" w:cs="Arial"/>
          <w:noProof/>
          <w:sz w:val="22"/>
          <w:szCs w:val="22"/>
          <w:lang w:val="en-ZA"/>
        </w:rPr>
        <w:tab/>
      </w:r>
      <w:r w:rsidRPr="00300F6E">
        <w:rPr>
          <w:rFonts w:ascii="Arial" w:hAnsi="Arial" w:cs="Arial"/>
          <w:noProof/>
          <w:sz w:val="22"/>
          <w:szCs w:val="22"/>
          <w:lang w:val="en-ZA"/>
        </w:rPr>
        <w:tab/>
        <w:t>iii.</w:t>
      </w:r>
      <w:r w:rsidRPr="00300F6E">
        <w:rPr>
          <w:rFonts w:ascii="Arial" w:hAnsi="Arial" w:cs="Arial"/>
          <w:noProof/>
          <w:sz w:val="22"/>
          <w:szCs w:val="22"/>
          <w:lang w:val="en-ZA"/>
        </w:rPr>
        <w:tab/>
        <w:t>industrial purposes business and commercial purposes</w:t>
      </w:r>
    </w:p>
    <w:p w:rsidR="002431C5" w:rsidRPr="00300F6E" w:rsidRDefault="002431C5" w:rsidP="002431C5">
      <w:pPr>
        <w:pStyle w:val="CM28"/>
        <w:spacing w:after="0" w:line="360" w:lineRule="auto"/>
        <w:ind w:left="720" w:firstLine="720"/>
        <w:jc w:val="both"/>
        <w:rPr>
          <w:rFonts w:ascii="Arial" w:hAnsi="Arial" w:cs="Arial"/>
          <w:noProof/>
          <w:sz w:val="22"/>
          <w:szCs w:val="22"/>
          <w:lang w:val="en-ZA"/>
        </w:rPr>
      </w:pPr>
      <w:r w:rsidRPr="00300F6E">
        <w:rPr>
          <w:rFonts w:ascii="Arial" w:hAnsi="Arial" w:cs="Arial"/>
          <w:noProof/>
          <w:sz w:val="22"/>
          <w:szCs w:val="22"/>
          <w:lang w:val="en-ZA"/>
        </w:rPr>
        <w:t>iv.</w:t>
      </w:r>
      <w:r w:rsidRPr="00300F6E">
        <w:rPr>
          <w:rFonts w:ascii="Arial" w:hAnsi="Arial" w:cs="Arial"/>
          <w:noProof/>
          <w:sz w:val="22"/>
          <w:szCs w:val="22"/>
          <w:lang w:val="en-ZA"/>
        </w:rPr>
        <w:tab/>
        <w:t xml:space="preserve">purposes other than those specified above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(g)</w:t>
      </w:r>
      <w:r w:rsidRPr="00300F6E">
        <w:rPr>
          <w:rFonts w:ascii="Arial" w:hAnsi="Arial" w:cs="Arial"/>
          <w:noProof/>
          <w:sz w:val="22"/>
          <w:szCs w:val="22"/>
          <w:lang w:val="en-ZA"/>
        </w:rPr>
        <w:tab/>
        <w:t>state owned properties</w:t>
      </w: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 </w:t>
      </w:r>
      <w:r w:rsidRPr="00300F6E">
        <w:rPr>
          <w:rFonts w:ascii="Arial" w:hAnsi="Arial" w:cs="Arial"/>
          <w:noProof/>
          <w:sz w:val="22"/>
          <w:szCs w:val="22"/>
          <w:lang w:val="en-ZA"/>
        </w:rPr>
        <w:tab/>
        <w:t>(h)</w:t>
      </w:r>
      <w:r w:rsidRPr="00300F6E">
        <w:rPr>
          <w:rFonts w:ascii="Arial" w:hAnsi="Arial" w:cs="Arial"/>
          <w:noProof/>
          <w:sz w:val="22"/>
          <w:szCs w:val="22"/>
          <w:lang w:val="en-ZA"/>
        </w:rPr>
        <w:tab/>
        <w:t xml:space="preserve">municipal properties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 xml:space="preserve">public service infrastructure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(j)</w:t>
      </w:r>
      <w:r w:rsidRPr="00300F6E">
        <w:rPr>
          <w:rFonts w:ascii="Arial" w:hAnsi="Arial" w:cs="Arial"/>
          <w:noProof/>
          <w:sz w:val="22"/>
          <w:szCs w:val="22"/>
          <w:lang w:val="en-ZA"/>
        </w:rPr>
        <w:tab/>
        <w:t>privately owned towns serviced by the owner</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(k)</w:t>
      </w:r>
      <w:r w:rsidRPr="00300F6E">
        <w:rPr>
          <w:rFonts w:ascii="Arial" w:hAnsi="Arial" w:cs="Arial"/>
          <w:noProof/>
          <w:sz w:val="22"/>
          <w:szCs w:val="22"/>
          <w:lang w:val="en-ZA"/>
        </w:rPr>
        <w:tab/>
        <w:t xml:space="preserve">formal and informal settlements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(l)</w:t>
      </w:r>
      <w:r w:rsidRPr="00300F6E">
        <w:rPr>
          <w:rFonts w:ascii="Arial" w:hAnsi="Arial" w:cs="Arial"/>
          <w:noProof/>
          <w:sz w:val="22"/>
          <w:szCs w:val="22"/>
          <w:lang w:val="en-ZA"/>
        </w:rPr>
        <w:tab/>
        <w:t xml:space="preserve">communal land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(m)</w:t>
      </w:r>
      <w:r w:rsidRPr="00300F6E">
        <w:rPr>
          <w:rFonts w:ascii="Arial" w:hAnsi="Arial" w:cs="Arial"/>
          <w:noProof/>
          <w:sz w:val="22"/>
          <w:szCs w:val="22"/>
          <w:lang w:val="en-ZA"/>
        </w:rPr>
        <w:tab/>
        <w:t>state trust land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(n)</w:t>
      </w:r>
      <w:r w:rsidRPr="00300F6E">
        <w:rPr>
          <w:rFonts w:ascii="Arial" w:hAnsi="Arial" w:cs="Arial"/>
          <w:noProof/>
          <w:sz w:val="22"/>
          <w:szCs w:val="22"/>
          <w:lang w:val="en-ZA"/>
        </w:rPr>
        <w:tab/>
        <w:t xml:space="preserve">properties acquired through the provision of Land Assistance Act 1993 or the Restitution of Land Rights Act 1994 or which is subject to the Communal Property Associations Act 1996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(o)</w:t>
      </w:r>
      <w:r w:rsidRPr="00300F6E">
        <w:rPr>
          <w:rFonts w:ascii="Arial" w:hAnsi="Arial" w:cs="Arial"/>
          <w:noProof/>
          <w:sz w:val="22"/>
          <w:szCs w:val="22"/>
          <w:lang w:val="en-ZA"/>
        </w:rPr>
        <w:tab/>
        <w:t>protected areas</w:t>
      </w: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 xml:space="preserve"> </w:t>
      </w:r>
      <w:r w:rsidRPr="00300F6E">
        <w:rPr>
          <w:rFonts w:ascii="Arial" w:hAnsi="Arial" w:cs="Arial"/>
          <w:noProof/>
          <w:sz w:val="22"/>
          <w:szCs w:val="22"/>
          <w:lang w:val="en-ZA"/>
        </w:rPr>
        <w:tab/>
        <w:t>(p)</w:t>
      </w:r>
      <w:r w:rsidRPr="00300F6E">
        <w:rPr>
          <w:rFonts w:ascii="Arial" w:hAnsi="Arial" w:cs="Arial"/>
          <w:noProof/>
          <w:sz w:val="22"/>
          <w:szCs w:val="22"/>
          <w:lang w:val="en-ZA"/>
        </w:rPr>
        <w:tab/>
        <w:t xml:space="preserve">properties on which national monuments are proclaimed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(q)</w:t>
      </w:r>
      <w:r w:rsidRPr="00300F6E">
        <w:rPr>
          <w:rFonts w:ascii="Arial" w:hAnsi="Arial" w:cs="Arial"/>
          <w:noProof/>
          <w:sz w:val="22"/>
          <w:szCs w:val="22"/>
          <w:lang w:val="en-ZA"/>
        </w:rPr>
        <w:tab/>
        <w:t xml:space="preserve">properties owned by public benefit organisations and used for any specific public benefit activities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(r)</w:t>
      </w:r>
      <w:r w:rsidRPr="00300F6E">
        <w:rPr>
          <w:rFonts w:ascii="Arial" w:hAnsi="Arial" w:cs="Arial"/>
          <w:noProof/>
          <w:sz w:val="22"/>
          <w:szCs w:val="22"/>
          <w:lang w:val="en-ZA"/>
        </w:rPr>
        <w:tab/>
        <w:t xml:space="preserve">properties used for multiple purposes.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9: PROPERTIES USED FOR MULTIPLE PURPOSES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property used for multiple purposes must, for rates purposes, be assigned to a category determined by the municipality for properties used for:</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a purpose corresponding with the permitted use of the property, if the permitted use of the property is regulated;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a purpose corresponding with the dominant use of the property; or multiple purposes, as specified in Section 8 above.</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A rate levied on a property assigned to a category of properties used for multiple purposes must be determined by:</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apportioning the market value of the property, in a manner as may be prescribed to the different purposes for which the property is used; 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applying the rates applicable to the categories determined by the municipality for properties used for those purposes to the different market value apportionments. </w:t>
      </w: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br w:type="page"/>
        <w:t xml:space="preserve">SECTION 10: LEVYING OF RATES ON PROPERTY IN SECTIONAL TITLE SCHEMES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rate on a property which is subject to a sectional title scheme must be levied on the individual sectional title units in the scheme, and not on the property on a whole.</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11: AMOUNT DUE FOR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rate levied by a municipality on property must be stated as an amount in the rand: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on the market value on the property;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in the case of public service infrastructure, on the market value of the public service infrastructure less % of that value determined in tariff book;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in the case of property to which Section 17(1)(h) applies, on the market value of the property less the amount stated in that section (note the section concerned deals with the requirement that the first R15 000 of the market value of certain properties is not rate able) for residential properties.</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12: PERIODS FOR WHICH RATES MAY BE LEVIED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When levying rates, a municipality must levy the rate for a financial year. A rate lapses at the end of the financial year for which it was levied.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levying of rates forms part of the municipality’s annual budget process, and the municipality must therefore annually, at the time of its budget process, review the amount in the rand of its current rates in line with the annual budget for the next financial year. </w:t>
      </w:r>
    </w:p>
    <w:p w:rsidR="002431C5" w:rsidRPr="00300F6E" w:rsidRDefault="002431C5" w:rsidP="002431C5">
      <w:pPr>
        <w:pStyle w:val="CM27"/>
        <w:spacing w:line="360" w:lineRule="auto"/>
        <w:jc w:val="both"/>
        <w:rPr>
          <w:rFonts w:ascii="Arial" w:hAnsi="Arial" w:cs="Arial"/>
          <w:b/>
          <w:noProof/>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13: COMMENCEMENT OF RATES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rate becomes payable</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as from the start of the particular financial year, or</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if the municipality’s annual budget is not approved by the start of the financial year, as from such later date when the municipality’s annual budget, including the resolution levying the rates, is approved by the provincial executive in terms of section 26 of the Municipal Finance Management Act.</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br w:type="page"/>
        <w:t xml:space="preserve"> </w:t>
      </w: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14: PROMULGATION OF RESOLUTIONS LEVYING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rate is levied by a municipality by a resolution passed by the council with a supporting vote of a simple majority of its members.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resolution levying the rates must be promulgated by publishing the resolution in the provincial gazette.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Whenever a municipality passes a resolution to levy rates, the municipal manager must, without delay,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conspicuously display the resolution for a period of at least 30 days </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at the municipality’s head and satellite offices and libraries, and</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if the municipality has an official website or a website is available to it, on that website as well; and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advertise in the media a notice stating that </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the resolution levying the property rates has been passed by the council, and</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that the resolution is available at the municipality’s head and satellite offices as so forth. </w:t>
      </w:r>
    </w:p>
    <w:p w:rsidR="002431C5" w:rsidRPr="00300F6E" w:rsidRDefault="002431C5" w:rsidP="002431C5">
      <w:pPr>
        <w:pStyle w:val="CM27"/>
        <w:spacing w:line="360" w:lineRule="auto"/>
        <w:jc w:val="both"/>
        <w:rPr>
          <w:rFonts w:ascii="Arial" w:hAnsi="Arial" w:cs="Arial"/>
          <w:noProof/>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15: EXEMPTIONS, REDUCTIONS AND REBATES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municipality may in terms of the criteria which it has set out in its rates policy:</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exempt a specific category of owners of properties, or the owners of a specific category of properties, from payment of the rate levied on their property; or</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grant to a specific category of owners, or to the owners of a specific category of properties, a rebate on or a reduction in the rates payable in respect of their properties.</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When granting exemptions, reductions and rebates in respect of owners or categories of properties, a municipality may determine such categories in accordance with Section 8 of the present Act, and </w:t>
      </w:r>
      <w:r w:rsidRPr="00300F6E">
        <w:rPr>
          <w:rFonts w:ascii="Arial" w:hAnsi="Arial" w:cs="Arial"/>
          <w:noProof/>
          <w:sz w:val="22"/>
          <w:szCs w:val="22"/>
          <w:u w:val="single"/>
          <w:lang w:val="en-ZA"/>
        </w:rPr>
        <w:t>when granting exemptions, reductions or rebates</w:t>
      </w:r>
      <w:r w:rsidRPr="00300F6E">
        <w:rPr>
          <w:rFonts w:ascii="Arial" w:hAnsi="Arial" w:cs="Arial"/>
          <w:noProof/>
          <w:sz w:val="22"/>
          <w:szCs w:val="22"/>
          <w:lang w:val="en-ZA"/>
        </w:rPr>
        <w:t xml:space="preserve"> in respect of categories of owners of properties, such categories may include:</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indigent owners;</w:t>
      </w:r>
    </w:p>
    <w:p w:rsidR="002431C5" w:rsidRPr="00300F6E" w:rsidRDefault="002431C5" w:rsidP="002431C5">
      <w:pPr>
        <w:pStyle w:val="CM27"/>
        <w:spacing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owners dependent on pensions or social grants for their livelihood;</w:t>
      </w:r>
    </w:p>
    <w:p w:rsidR="002431C5" w:rsidRPr="00300F6E" w:rsidRDefault="002431C5" w:rsidP="002431C5">
      <w:pPr>
        <w:pStyle w:val="CM27"/>
        <w:spacing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owners temporarily without income</w:t>
      </w:r>
      <w:r w:rsidRPr="00300F6E">
        <w:rPr>
          <w:rFonts w:ascii="Arial" w:hAnsi="Arial" w:cs="Arial"/>
          <w:noProof/>
          <w:sz w:val="22"/>
          <w:szCs w:val="22"/>
          <w:u w:val="single"/>
          <w:lang w:val="en-ZA"/>
        </w:rPr>
        <w:t>.</w:t>
      </w:r>
      <w:r w:rsidRPr="00300F6E">
        <w:rPr>
          <w:rFonts w:ascii="Arial" w:hAnsi="Arial" w:cs="Arial"/>
          <w:noProof/>
          <w:sz w:val="22"/>
          <w:szCs w:val="22"/>
          <w:lang w:val="en-ZA"/>
        </w:rPr>
        <w:t xml:space="preserve"> </w:t>
      </w:r>
    </w:p>
    <w:p w:rsidR="002431C5"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owners of property situated within an area affected by a disaster or any other serious adverse social or economic conditions.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(e)</w:t>
      </w:r>
      <w:r w:rsidRPr="00300F6E">
        <w:rPr>
          <w:rFonts w:ascii="Arial" w:hAnsi="Arial" w:cs="Arial"/>
          <w:noProof/>
          <w:sz w:val="22"/>
          <w:szCs w:val="22"/>
          <w:lang w:val="en-ZA"/>
        </w:rPr>
        <w:tab/>
        <w:t xml:space="preserve">owners of residential properties with a market value lower than an amount determined by the municipality; and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(f)</w:t>
      </w:r>
      <w:r w:rsidRPr="00300F6E">
        <w:rPr>
          <w:rFonts w:ascii="Arial" w:hAnsi="Arial" w:cs="Arial"/>
          <w:noProof/>
          <w:sz w:val="22"/>
          <w:szCs w:val="22"/>
          <w:lang w:val="en-ZA"/>
        </w:rPr>
        <w:tab/>
        <w:t>owners of agricultural properties who are bona fide farmers.</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The municipal manager must annually table in the council:</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a list of all exemptions, reductions and rebates granted by the municipality during the previous financial year; and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 statement reflecting the income which the municipality has forgone during the previous financial year by way of </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such exemption, reductions and rebates,</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exclusions referred to in the Act, and</w:t>
      </w:r>
    </w:p>
    <w:p w:rsidR="002431C5" w:rsidRPr="00300F6E" w:rsidRDefault="002431C5" w:rsidP="002431C5">
      <w:pPr>
        <w:pStyle w:val="CM28"/>
        <w:spacing w:after="0" w:line="360" w:lineRule="auto"/>
        <w:ind w:left="1440"/>
        <w:jc w:val="both"/>
        <w:rPr>
          <w:rFonts w:ascii="Arial" w:hAnsi="Arial" w:cs="Arial"/>
          <w:noProof/>
          <w:sz w:val="22"/>
          <w:szCs w:val="22"/>
          <w:lang w:val="en-ZA"/>
        </w:rPr>
      </w:pPr>
      <w:r w:rsidRPr="00300F6E">
        <w:rPr>
          <w:rFonts w:ascii="Arial" w:hAnsi="Arial" w:cs="Arial"/>
          <w:noProof/>
          <w:sz w:val="22"/>
          <w:szCs w:val="22"/>
          <w:lang w:val="en-ZA"/>
        </w:rPr>
        <w:t>iii.</w:t>
      </w:r>
      <w:r w:rsidRPr="00300F6E">
        <w:rPr>
          <w:rFonts w:ascii="Arial" w:hAnsi="Arial" w:cs="Arial"/>
          <w:noProof/>
          <w:sz w:val="22"/>
          <w:szCs w:val="22"/>
          <w:lang w:val="en-ZA"/>
        </w:rPr>
        <w:tab/>
        <w:t>the phasing in discount granted in terms of Section 21.</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(4)</w:t>
      </w:r>
      <w:r w:rsidRPr="00300F6E">
        <w:rPr>
          <w:rFonts w:ascii="Arial" w:hAnsi="Arial" w:cs="Arial"/>
          <w:noProof/>
          <w:sz w:val="22"/>
          <w:szCs w:val="22"/>
          <w:lang w:val="en-ZA"/>
        </w:rPr>
        <w:tab/>
        <w:t>All exemptions, reductions and rebates projected for a financial year must be reflected in the municipality’s annual budget for that year as</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income on the revenue side and</w:t>
      </w:r>
    </w:p>
    <w:p w:rsidR="002431C5" w:rsidRPr="00300F6E" w:rsidRDefault="002431C5" w:rsidP="002431C5">
      <w:pPr>
        <w:pStyle w:val="CM28"/>
        <w:numPr>
          <w:ilvl w:val="1"/>
          <w:numId w:val="7"/>
        </w:numPr>
        <w:tabs>
          <w:tab w:val="clear" w:pos="2880"/>
          <w:tab w:val="num" w:pos="1418"/>
        </w:tabs>
        <w:spacing w:after="0" w:line="360" w:lineRule="auto"/>
        <w:ind w:hanging="2171"/>
        <w:jc w:val="both"/>
        <w:rPr>
          <w:rFonts w:ascii="Arial" w:hAnsi="Arial" w:cs="Arial"/>
          <w:noProof/>
          <w:sz w:val="22"/>
          <w:szCs w:val="22"/>
          <w:lang w:val="en-ZA"/>
        </w:rPr>
      </w:pPr>
      <w:r w:rsidRPr="00300F6E">
        <w:rPr>
          <w:rFonts w:ascii="Arial" w:hAnsi="Arial" w:cs="Arial"/>
          <w:noProof/>
          <w:sz w:val="22"/>
          <w:szCs w:val="22"/>
          <w:lang w:val="en-ZA"/>
        </w:rPr>
        <w:t>expenditure on the expenditure side.</w:t>
      </w:r>
    </w:p>
    <w:p w:rsidR="002431C5" w:rsidRPr="00300F6E" w:rsidRDefault="002431C5" w:rsidP="002431C5">
      <w:pPr>
        <w:pStyle w:val="Default"/>
        <w:spacing w:line="360" w:lineRule="auto"/>
        <w:ind w:left="2160"/>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16: CONSTITUTIONALLY IMPERMISSIBLE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In terms of the Constitution a municipality may not exercise its power to levy rates on property in a manner that materially and unreasonably prejudices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national economic policies,</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economic activities across its boundaries, or</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the national mobility of goods, services, capital and labour.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09" w:hanging="698"/>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If a rate on a specific category of properties, or a rate on a specific category of properties above a specific amount in the rand, is materially and unreasonably prejudicing any of the matters referred to above, the Minister of Provincial and Local Government may, by notice in the gazette, give notice to the relevant municipality that the rate must be limited to an amount in the rand specified in the notice.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17: OTHER IMPERMISSIBLE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municipality may not levy a rate on:</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the first 30% of the market value of public service infrastructure;</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any part of the seashore;</w:t>
      </w:r>
    </w:p>
    <w:p w:rsidR="002431C5"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any part of the territorial waters of the Republic;</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any islands of which the state is the owner;</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(e)</w:t>
      </w:r>
      <w:r w:rsidRPr="00300F6E">
        <w:rPr>
          <w:rFonts w:ascii="Arial" w:hAnsi="Arial" w:cs="Arial"/>
          <w:noProof/>
          <w:sz w:val="22"/>
          <w:szCs w:val="22"/>
          <w:lang w:val="en-ZA"/>
        </w:rPr>
        <w:tab/>
        <w:t>those parts of a special nature reserve, national park or nature reserve or national botanical garden which are not developed or used for commercial, business, agricultural or residential purposes; mineral rights;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(f)</w:t>
      </w:r>
      <w:r w:rsidRPr="00300F6E">
        <w:rPr>
          <w:rFonts w:ascii="Arial" w:hAnsi="Arial" w:cs="Arial"/>
          <w:noProof/>
          <w:sz w:val="22"/>
          <w:szCs w:val="22"/>
          <w:lang w:val="en-ZA"/>
        </w:rPr>
        <w:tab/>
        <w:t>property belonging to a land reform beneficiary or his or her heirs, provided that this exclusion lapses 10 years from the date on which such beneficiary’s title was registered in the office of the registrar of deeds;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(g)</w:t>
      </w:r>
      <w:r w:rsidRPr="00300F6E">
        <w:rPr>
          <w:rFonts w:ascii="Arial" w:hAnsi="Arial" w:cs="Arial"/>
          <w:noProof/>
          <w:sz w:val="22"/>
          <w:szCs w:val="22"/>
          <w:lang w:val="en-ZA"/>
        </w:rPr>
        <w:tab/>
        <w:t>the first R15 000 of the market value of a property assigned in the valuation roll or supplementary valuation roll to a category determined by the municipality for residential purposes or for properties used for multiple purposes, provided one or more components of the property are used for residential purposes;</w:t>
      </w:r>
    </w:p>
    <w:p w:rsidR="002431C5" w:rsidRPr="00300F6E" w:rsidRDefault="002431C5" w:rsidP="002431C5">
      <w:pPr>
        <w:pStyle w:val="CM28"/>
        <w:numPr>
          <w:ilvl w:val="0"/>
          <w:numId w:val="4"/>
        </w:numPr>
        <w:spacing w:after="0" w:line="360" w:lineRule="auto"/>
        <w:jc w:val="both"/>
        <w:rPr>
          <w:rFonts w:ascii="Arial" w:hAnsi="Arial" w:cs="Arial"/>
          <w:noProof/>
          <w:sz w:val="22"/>
          <w:szCs w:val="22"/>
          <w:lang w:val="en-ZA"/>
        </w:rPr>
      </w:pPr>
      <w:r w:rsidRPr="00300F6E">
        <w:rPr>
          <w:rFonts w:ascii="Arial" w:hAnsi="Arial" w:cs="Arial"/>
          <w:noProof/>
          <w:sz w:val="22"/>
          <w:szCs w:val="22"/>
          <w:lang w:val="en-ZA"/>
        </w:rPr>
        <w:t>a property registered in the name of and used primarily as a place of public worship by a religious community, including an official residence registered in the name of that community which is occupied by an office bearer of that community and who officiates at services at that place of workshop.</w:t>
      </w:r>
    </w:p>
    <w:p w:rsidR="002431C5" w:rsidRPr="00300F6E" w:rsidRDefault="002431C5" w:rsidP="002431C5">
      <w:pPr>
        <w:pStyle w:val="Default"/>
        <w:spacing w:line="360" w:lineRule="auto"/>
        <w:ind w:left="1440"/>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(The remainder of this Section deals with situations where the various exemptions lapse).</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18: EXEMPTION OF MUNICIPALITIES FROM PROVISIONS OF SECTION 17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may apply in writing to the Minister for Provincial and Local Government to be exempted from applying the exemptions granted in respect of the first 30% of the market value of public infrastructure, the exemptions on nature reserves, national parks and national botanical gardens, the exemption on property belonging to land beneficiaries, and the exemption applying to the first R15 000 of the market value of residential and mixed use property, if the municipality can demonstrate that such exclusions are compromising or impeding its ability or right to exercise its powers or perform its functions within the meaning of the Constitution.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19: IMPERMISSIBLE DIFFERENTIATION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may not levy: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different rates on residential properties (except where transitional arrangements apply or where some of the properties are newly rate able);</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 rate on non-residential properties that exceeds a prescribed ratio to the rate on residential properties;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rates which unreasonably discriminate between categories of non-residential properties; and</w:t>
      </w:r>
    </w:p>
    <w:p w:rsidR="002431C5"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 xml:space="preserve">additional rates, except as provided for in Section 22. </w:t>
      </w: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20: LIMITS ON ANNUAL INCREASES OF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The Minister of Provincial Local Government may, with the concurrence of the Minister of Finance and by notice in the gazette, set an upper limit on the percentage by which rates on properties or a rate on a specific category of properties may be increased.</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Different limits may be set for</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different kinds of municipalities or</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different categories of properties. </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The Minister may, on written application by a municipality, and on good cause shown, exempt such municipality from a limit set in terms of the foregoing.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21: COMPULSORY PHASING IN OF CERTAIN RATES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w:t>
      </w:r>
      <w:r w:rsidRPr="00300F6E">
        <w:rPr>
          <w:rFonts w:ascii="Arial" w:hAnsi="Arial" w:cs="Arial"/>
          <w:noProof/>
          <w:sz w:val="22"/>
          <w:szCs w:val="22"/>
          <w:lang w:val="en-ZA"/>
        </w:rPr>
        <w:tab/>
        <w:t>A rate levied on newly rateable property must be phased in over a period of three</w:t>
      </w:r>
    </w:p>
    <w:p w:rsidR="002431C5" w:rsidRPr="00300F6E" w:rsidRDefault="002431C5" w:rsidP="002431C5">
      <w:pPr>
        <w:pStyle w:val="CM28"/>
        <w:spacing w:after="0" w:line="360" w:lineRule="auto"/>
        <w:ind w:left="1440" w:firstLine="60"/>
        <w:jc w:val="both"/>
        <w:rPr>
          <w:rFonts w:ascii="Arial" w:hAnsi="Arial" w:cs="Arial"/>
          <w:noProof/>
          <w:sz w:val="22"/>
          <w:szCs w:val="22"/>
          <w:lang w:val="en-ZA"/>
        </w:rPr>
      </w:pPr>
      <w:r w:rsidRPr="00300F6E">
        <w:rPr>
          <w:rFonts w:ascii="Arial" w:hAnsi="Arial" w:cs="Arial"/>
          <w:noProof/>
          <w:sz w:val="22"/>
          <w:szCs w:val="22"/>
          <w:lang w:val="en-ZA"/>
        </w:rPr>
        <w:t>financial years.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Similarly, a rate levied on property owned by a land reform beneficiary must, after the exclusion period has lapsed, be phased in over a period of three financial years.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A rate levied on a newly rateable property owned and used by organizations conducting specified public benefit activities must be phased in over a period of four financial years.</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The phasing in discount on a property must:</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in the first year, be at least 75% of the rate for that year otherwise applicable to that property;</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in the second year, be at least 50% of the rate for that year otherwise applicable to that property, 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in the third year, be at least 25% of the rate for that year otherwise applicable to that property.</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No rate may be levied during the first year on newly rateable property owned and used by organisations conducting specified public benefit activities. Thereafter the phasing in discount shall apply as for other newly rateable property </w:t>
      </w:r>
    </w:p>
    <w:p w:rsidR="002431C5" w:rsidRPr="00300F6E" w:rsidRDefault="002431C5" w:rsidP="002431C5">
      <w:pPr>
        <w:pStyle w:val="CM27"/>
        <w:spacing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except that the 75% discount shall apply to the second year, </w:t>
      </w:r>
    </w:p>
    <w:p w:rsidR="002431C5" w:rsidRPr="00300F6E" w:rsidRDefault="002431C5" w:rsidP="002431C5">
      <w:pPr>
        <w:pStyle w:val="CM27"/>
        <w:spacing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the 50% to the third year, and </w:t>
      </w:r>
    </w:p>
    <w:p w:rsidR="002431C5" w:rsidRPr="00300F6E" w:rsidRDefault="002431C5" w:rsidP="002431C5">
      <w:pPr>
        <w:pStyle w:val="CM27"/>
        <w:spacing w:line="360" w:lineRule="auto"/>
        <w:ind w:left="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the 25% to the fourth year. </w:t>
      </w:r>
    </w:p>
    <w:p w:rsidR="002431C5" w:rsidRPr="00300F6E" w:rsidRDefault="002431C5" w:rsidP="002431C5">
      <w:pPr>
        <w:pStyle w:val="CM33"/>
        <w:spacing w:after="0" w:line="360" w:lineRule="auto"/>
        <w:jc w:val="both"/>
        <w:rPr>
          <w:rFonts w:ascii="Arial" w:hAnsi="Arial" w:cs="Arial"/>
          <w:noProof/>
          <w:sz w:val="22"/>
          <w:szCs w:val="22"/>
          <w:lang w:val="en-ZA"/>
        </w:rPr>
      </w:pPr>
    </w:p>
    <w:p w:rsidR="002431C5" w:rsidRDefault="002431C5" w:rsidP="002431C5">
      <w:pPr>
        <w:pStyle w:val="CM33"/>
        <w:spacing w:after="0" w:line="360" w:lineRule="auto"/>
        <w:ind w:left="709" w:hanging="709"/>
        <w:jc w:val="both"/>
        <w:rPr>
          <w:rFonts w:ascii="Arial" w:hAnsi="Arial" w:cs="Arial"/>
          <w:noProof/>
          <w:sz w:val="22"/>
          <w:szCs w:val="22"/>
          <w:lang w:val="en-ZA"/>
        </w:rPr>
      </w:pPr>
      <w:r w:rsidRPr="00300F6E">
        <w:rPr>
          <w:rFonts w:ascii="Arial" w:hAnsi="Arial" w:cs="Arial"/>
          <w:noProof/>
          <w:sz w:val="22"/>
          <w:szCs w:val="22"/>
          <w:lang w:val="en-ZA"/>
        </w:rPr>
        <w:t>(4)</w:t>
      </w:r>
      <w:r w:rsidRPr="00300F6E">
        <w:rPr>
          <w:rFonts w:ascii="Arial" w:hAnsi="Arial" w:cs="Arial"/>
          <w:noProof/>
          <w:sz w:val="22"/>
          <w:szCs w:val="22"/>
          <w:lang w:val="en-ZA"/>
        </w:rPr>
        <w:tab/>
        <w:t xml:space="preserve">A rate levied on newly rateable property may not be higher than the rate levied on similar property or categories of property in the municipality. </w:t>
      </w: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22: SPECIAL RATING AREAS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may by a resolution of its council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determine an area within that municipality as a special rating area,</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levy an additional rate on property in that area for the purpose of raising funds for improving or upgrading that area, and</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 xml:space="preserve">differentiate between categories of properties when levying such additional rate.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For determining such a special rating area, the municipality must</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undertake a prescribed process of consultation with the local community, and</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obtain the consent of the majority of the members of the local community in the proposed special rating area who will be liable for paying the additional rate.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The levying of an additional rate may not be used to reinforce existing inequities in the development of the municipality, and any determination of a special rating area must be consistent with the objectives of the municipality’s IDP.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23: REGISTER OF PROPERTIES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The municipality must draw up and maintain a register in respect of all properties situated within that municipality, dividing such register into a part A and a part B.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Part A of the register consists of the current valuation roll of the municipality, including any supplementary valuation rolls prepared from time to time.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Part B of the register specifies which properties on the valuation roll or any supplementary valuation rolls are subject to: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an exemption from rates in terms of Section 15 of the present Act;</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a rebate on or a reduction in the rate in terms of Section 15;</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(c)</w:t>
      </w:r>
      <w:r w:rsidRPr="00300F6E">
        <w:rPr>
          <w:rFonts w:ascii="Arial" w:hAnsi="Arial" w:cs="Arial"/>
          <w:noProof/>
          <w:sz w:val="22"/>
          <w:szCs w:val="22"/>
          <w:lang w:val="en-ZA"/>
        </w:rPr>
        <w:tab/>
        <w:t>a phasing in of the rate in terms of Section 21;and</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(d)</w:t>
      </w:r>
      <w:r w:rsidRPr="00300F6E">
        <w:rPr>
          <w:rFonts w:ascii="Arial" w:hAnsi="Arial" w:cs="Arial"/>
          <w:noProof/>
          <w:sz w:val="22"/>
          <w:szCs w:val="22"/>
          <w:lang w:val="en-ZA"/>
        </w:rPr>
        <w:tab/>
        <w:t>an exclusion referred to in Section 17.</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(4)</w:t>
      </w:r>
      <w:r w:rsidRPr="00300F6E">
        <w:rPr>
          <w:rFonts w:ascii="Arial" w:hAnsi="Arial" w:cs="Arial"/>
          <w:noProof/>
          <w:sz w:val="22"/>
          <w:szCs w:val="22"/>
          <w:lang w:val="en-ZA"/>
        </w:rPr>
        <w:tab/>
        <w:t xml:space="preserve">The register must be open for inspection by the public during office hours, and if the municipality has an official website or a website available to it, the register must also be displayed on that website.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(5)</w:t>
      </w:r>
      <w:r w:rsidRPr="00300F6E">
        <w:rPr>
          <w:rFonts w:ascii="Arial" w:hAnsi="Arial" w:cs="Arial"/>
          <w:noProof/>
          <w:sz w:val="22"/>
          <w:szCs w:val="22"/>
          <w:lang w:val="en-ZA"/>
        </w:rPr>
        <w:tab/>
        <w:t xml:space="preserve">The municipality must at regular intervals, but at least annually, update part B of the register. </w:t>
      </w: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24: PROPERTY RATES PAYABLE BY OWNERS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rate levied by a municipality on property must be pai</w:t>
      </w:r>
      <w:r>
        <w:rPr>
          <w:rFonts w:ascii="Arial" w:hAnsi="Arial" w:cs="Arial"/>
          <w:noProof/>
          <w:sz w:val="22"/>
          <w:szCs w:val="22"/>
          <w:lang w:val="en-ZA"/>
        </w:rPr>
        <w:t>d by the owner of the property subject to Chapter 9 of the Municipal Systems Act</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(a)</w:t>
      </w:r>
      <w:r w:rsidRPr="00300F6E">
        <w:rPr>
          <w:rFonts w:ascii="Arial" w:hAnsi="Arial" w:cs="Arial"/>
          <w:noProof/>
          <w:sz w:val="22"/>
          <w:szCs w:val="22"/>
          <w:lang w:val="en-ZA"/>
        </w:rPr>
        <w:tab/>
        <w:t xml:space="preserve">Joint owners of a property are jointly and severally liable for the amount due for rates on that property.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In the case of agricultural property owned by more than one owner in undivided shares, the municipality must consider whether in the particular circumstances it would be more appropriate for the municipality to</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w:t>
      </w:r>
      <w:r w:rsidRPr="00300F6E">
        <w:rPr>
          <w:rFonts w:ascii="Arial" w:hAnsi="Arial" w:cs="Arial"/>
          <w:noProof/>
          <w:sz w:val="22"/>
          <w:szCs w:val="22"/>
          <w:lang w:val="en-ZA"/>
        </w:rPr>
        <w:tab/>
        <w:t xml:space="preserve">hold any one of the joint owners liable for all rates levied in respect of the agricultural property, or </w:t>
      </w:r>
    </w:p>
    <w:p w:rsidR="002431C5" w:rsidRPr="00300F6E" w:rsidRDefault="002431C5" w:rsidP="002431C5">
      <w:pPr>
        <w:pStyle w:val="CM28"/>
        <w:spacing w:after="0" w:line="360" w:lineRule="auto"/>
        <w:ind w:left="2160" w:hanging="720"/>
        <w:jc w:val="both"/>
        <w:rPr>
          <w:rFonts w:ascii="Arial" w:hAnsi="Arial" w:cs="Arial"/>
          <w:noProof/>
          <w:sz w:val="22"/>
          <w:szCs w:val="22"/>
          <w:lang w:val="en-ZA"/>
        </w:rPr>
      </w:pPr>
      <w:r w:rsidRPr="00300F6E">
        <w:rPr>
          <w:rFonts w:ascii="Arial" w:hAnsi="Arial" w:cs="Arial"/>
          <w:noProof/>
          <w:sz w:val="22"/>
          <w:szCs w:val="22"/>
          <w:lang w:val="en-ZA"/>
        </w:rPr>
        <w:t>ii.</w:t>
      </w:r>
      <w:r w:rsidRPr="00300F6E">
        <w:rPr>
          <w:rFonts w:ascii="Arial" w:hAnsi="Arial" w:cs="Arial"/>
          <w:noProof/>
          <w:sz w:val="22"/>
          <w:szCs w:val="22"/>
          <w:lang w:val="en-ZA"/>
        </w:rPr>
        <w:tab/>
        <w:t xml:space="preserve">to hold any joint owner only liable for that portion of the rates levied on the property that represent that joint owner’s undivided share in the agricultural property.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25: PAYMENT OF RATES ON PROPERTY IN SECTIONAL TITLE SCHEMES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684DEF"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The rate levied by a municipality on a sectional title unit is pa</w:t>
      </w:r>
      <w:r>
        <w:rPr>
          <w:rFonts w:ascii="Arial" w:hAnsi="Arial" w:cs="Arial"/>
          <w:noProof/>
          <w:sz w:val="22"/>
          <w:szCs w:val="22"/>
          <w:lang w:val="en-ZA"/>
        </w:rPr>
        <w:t>yable by the owner of the unit</w:t>
      </w:r>
      <w:r w:rsidRPr="00C104A3">
        <w:rPr>
          <w:rFonts w:ascii="Arial" w:hAnsi="Arial" w:cs="Arial"/>
          <w:noProof/>
          <w:sz w:val="22"/>
          <w:szCs w:val="22"/>
          <w:highlight w:val="yellow"/>
          <w:lang w:val="en-ZA"/>
        </w:rPr>
        <w:t xml:space="preserve"> </w:t>
      </w:r>
      <w:r w:rsidRPr="00684DEF">
        <w:rPr>
          <w:rFonts w:ascii="Arial" w:hAnsi="Arial" w:cs="Arial"/>
          <w:noProof/>
          <w:sz w:val="22"/>
          <w:szCs w:val="22"/>
          <w:lang w:val="en-ZA"/>
        </w:rPr>
        <w:t>or holder of a right contemplated in section 25 or 27 of the Sectional Titles Act</w:t>
      </w:r>
    </w:p>
    <w:p w:rsidR="002431C5" w:rsidRPr="00684DEF"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684DEF">
        <w:rPr>
          <w:rFonts w:ascii="Arial" w:hAnsi="Arial" w:cs="Arial"/>
          <w:noProof/>
          <w:sz w:val="22"/>
          <w:szCs w:val="22"/>
          <w:lang w:val="en-ZA"/>
        </w:rPr>
        <w:t>(2)</w:t>
      </w:r>
      <w:r w:rsidRPr="00684DEF">
        <w:rPr>
          <w:rFonts w:ascii="Arial" w:hAnsi="Arial" w:cs="Arial"/>
          <w:noProof/>
          <w:sz w:val="22"/>
          <w:szCs w:val="22"/>
          <w:lang w:val="en-ZA"/>
        </w:rPr>
        <w:tab/>
        <w:t>The municipality may not recover the rate on such sectional title unit, or on a right contaplated in section 25 or 27 of the Sectional Titles Act registered against the sectioanl title unit</w:t>
      </w:r>
      <w:r>
        <w:rPr>
          <w:rFonts w:ascii="Arial" w:hAnsi="Arial" w:cs="Arial"/>
          <w:noProof/>
          <w:sz w:val="22"/>
          <w:szCs w:val="22"/>
          <w:lang w:val="en-ZA"/>
        </w:rPr>
        <w:t xml:space="preserve"> or any part of such rate, from the body corporate controlling a sectional title scheme, except when the body corporate is the owner of any specific sectional title scheme, or holder of such right,</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 xml:space="preserve">any part of such rate, from the body corporate controlling the sectional title scheme, except when the body corporate itself is the owner of any specific sectional title unit. </w:t>
      </w:r>
    </w:p>
    <w:p w:rsidR="002431C5" w:rsidRPr="00300F6E" w:rsidRDefault="002431C5" w:rsidP="002431C5">
      <w:pPr>
        <w:pStyle w:val="CM27"/>
        <w:spacing w:line="360" w:lineRule="auto"/>
        <w:jc w:val="both"/>
        <w:rPr>
          <w:rFonts w:ascii="Arial" w:hAnsi="Arial" w:cs="Arial"/>
          <w:b/>
          <w:noProof/>
          <w:sz w:val="22"/>
          <w:szCs w:val="22"/>
          <w:lang w:val="en-ZA"/>
        </w:rPr>
      </w:pPr>
    </w:p>
    <w:p w:rsidR="002431C5" w:rsidRPr="00300F6E" w:rsidRDefault="002431C5" w:rsidP="002431C5">
      <w:pPr>
        <w:pStyle w:val="CM27"/>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26: METHOD AND TIME OF PAYMENT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municipality must recover a rate</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on a monthly basis, or less often as may be prescribed in terms of the Municipal Finance Management Act, or </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annually, as may be agreed to with the owner of the property.</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(a)</w:t>
      </w:r>
      <w:r w:rsidRPr="00300F6E">
        <w:rPr>
          <w:rFonts w:ascii="Arial" w:hAnsi="Arial" w:cs="Arial"/>
          <w:noProof/>
          <w:sz w:val="22"/>
          <w:szCs w:val="22"/>
          <w:lang w:val="en-ZA"/>
        </w:rPr>
        <w:tab/>
        <w:t xml:space="preserve">If the rate is payable in a single annual amount, it must be paid on or before a date </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ab/>
      </w:r>
      <w:r w:rsidRPr="00300F6E">
        <w:rPr>
          <w:rFonts w:ascii="Arial" w:hAnsi="Arial" w:cs="Arial"/>
          <w:noProof/>
          <w:sz w:val="22"/>
          <w:szCs w:val="22"/>
          <w:lang w:val="en-ZA"/>
        </w:rPr>
        <w:tab/>
        <w:t>determined by the municipality.</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If the rate is payable in installments, it must be paid on or before a date in each</w:t>
      </w:r>
    </w:p>
    <w:p w:rsidR="002431C5" w:rsidRDefault="002431C5" w:rsidP="002431C5">
      <w:pPr>
        <w:pStyle w:val="Default"/>
        <w:spacing w:line="360" w:lineRule="auto"/>
        <w:jc w:val="both"/>
        <w:rPr>
          <w:rFonts w:ascii="Arial" w:hAnsi="Arial" w:cs="Arial"/>
          <w:noProof/>
          <w:sz w:val="22"/>
          <w:szCs w:val="22"/>
          <w:lang w:val="en-ZA"/>
        </w:rPr>
      </w:pPr>
      <w:r w:rsidRPr="00300F6E">
        <w:rPr>
          <w:rFonts w:ascii="Arial" w:hAnsi="Arial" w:cs="Arial"/>
          <w:noProof/>
          <w:sz w:val="22"/>
          <w:szCs w:val="22"/>
          <w:lang w:val="en-ZA"/>
        </w:rPr>
        <w:t xml:space="preserve"> period determined by the municipality. </w:t>
      </w:r>
    </w:p>
    <w:p w:rsidR="002431C5" w:rsidRDefault="002431C5" w:rsidP="002431C5">
      <w:pPr>
        <w:pStyle w:val="Default"/>
        <w:spacing w:line="360" w:lineRule="auto"/>
        <w:jc w:val="both"/>
        <w:rPr>
          <w:rFonts w:ascii="Arial" w:hAnsi="Arial" w:cs="Arial"/>
          <w:noProof/>
          <w:sz w:val="22"/>
          <w:szCs w:val="22"/>
          <w:lang w:val="en-ZA"/>
        </w:rPr>
      </w:pPr>
    </w:p>
    <w:p w:rsidR="002431C5" w:rsidRPr="00684DEF" w:rsidRDefault="002431C5" w:rsidP="002431C5">
      <w:pPr>
        <w:pStyle w:val="Default"/>
        <w:spacing w:line="360" w:lineRule="auto"/>
        <w:jc w:val="both"/>
        <w:rPr>
          <w:rFonts w:ascii="Arial" w:hAnsi="Arial" w:cs="Arial"/>
          <w:noProof/>
          <w:color w:val="auto"/>
          <w:sz w:val="22"/>
          <w:szCs w:val="22"/>
          <w:lang w:val="en-ZA"/>
        </w:rPr>
      </w:pPr>
      <w:r w:rsidRPr="00684DEF">
        <w:rPr>
          <w:rFonts w:ascii="Arial" w:hAnsi="Arial" w:cs="Arial"/>
          <w:noProof/>
          <w:color w:val="auto"/>
          <w:sz w:val="22"/>
          <w:szCs w:val="22"/>
          <w:lang w:val="en-ZA"/>
        </w:rPr>
        <w:t>NB: The municipality shall levy the properties with a bill at each end of the month and it should be payable monthly within 15 days of preceeding month.</w:t>
      </w:r>
    </w:p>
    <w:p w:rsidR="002431C5" w:rsidRPr="00684DEF" w:rsidRDefault="002431C5" w:rsidP="002431C5">
      <w:pPr>
        <w:pStyle w:val="CM28"/>
        <w:spacing w:after="0" w:line="360" w:lineRule="auto"/>
        <w:ind w:left="720" w:firstLine="720"/>
        <w:jc w:val="both"/>
        <w:rPr>
          <w:rFonts w:ascii="Arial" w:hAnsi="Arial" w:cs="Arial"/>
          <w:noProof/>
          <w:sz w:val="22"/>
          <w:szCs w:val="22"/>
          <w:lang w:val="en-ZA"/>
        </w:rPr>
      </w:pPr>
    </w:p>
    <w:p w:rsidR="002431C5" w:rsidRPr="00684DEF" w:rsidRDefault="002431C5" w:rsidP="002431C5">
      <w:pPr>
        <w:pStyle w:val="CM27"/>
        <w:spacing w:line="360" w:lineRule="auto"/>
        <w:jc w:val="both"/>
        <w:rPr>
          <w:rFonts w:ascii="Arial" w:hAnsi="Arial" w:cs="Arial"/>
          <w:b/>
          <w:noProof/>
          <w:sz w:val="22"/>
          <w:szCs w:val="22"/>
          <w:lang w:val="en-ZA"/>
        </w:rPr>
      </w:pPr>
      <w:r w:rsidRPr="00684DEF">
        <w:rPr>
          <w:rFonts w:ascii="Arial" w:hAnsi="Arial" w:cs="Arial"/>
          <w:b/>
          <w:noProof/>
          <w:sz w:val="22"/>
          <w:szCs w:val="22"/>
          <w:lang w:val="en-ZA"/>
        </w:rPr>
        <w:t xml:space="preserve">SECTION 27: ACCOUNTS TO BE FURNISHED </w:t>
      </w:r>
    </w:p>
    <w:p w:rsidR="002431C5" w:rsidRPr="00684DEF" w:rsidRDefault="002431C5" w:rsidP="002431C5">
      <w:pPr>
        <w:pStyle w:val="CM28"/>
        <w:spacing w:after="0" w:line="360" w:lineRule="auto"/>
        <w:jc w:val="both"/>
        <w:rPr>
          <w:rFonts w:ascii="Arial" w:hAnsi="Arial" w:cs="Arial"/>
          <w:noProof/>
          <w:sz w:val="22"/>
          <w:szCs w:val="22"/>
          <w:lang w:val="en-ZA"/>
        </w:rPr>
      </w:pPr>
    </w:p>
    <w:p w:rsidR="002431C5" w:rsidRPr="00684DEF" w:rsidRDefault="002431C5" w:rsidP="002431C5">
      <w:pPr>
        <w:pStyle w:val="CM28"/>
        <w:spacing w:after="0" w:line="360" w:lineRule="auto"/>
        <w:ind w:left="720" w:hanging="720"/>
        <w:jc w:val="both"/>
        <w:rPr>
          <w:rFonts w:ascii="Arial" w:hAnsi="Arial" w:cs="Arial"/>
          <w:noProof/>
          <w:sz w:val="22"/>
          <w:szCs w:val="22"/>
          <w:lang w:val="en-ZA"/>
        </w:rPr>
      </w:pPr>
      <w:r w:rsidRPr="00684DEF">
        <w:rPr>
          <w:rFonts w:ascii="Arial" w:hAnsi="Arial" w:cs="Arial"/>
          <w:noProof/>
          <w:sz w:val="22"/>
          <w:szCs w:val="22"/>
          <w:lang w:val="en-ZA"/>
        </w:rPr>
        <w:t>(1)</w:t>
      </w:r>
      <w:r w:rsidRPr="00684DEF">
        <w:rPr>
          <w:rFonts w:ascii="Arial" w:hAnsi="Arial" w:cs="Arial"/>
          <w:noProof/>
          <w:sz w:val="22"/>
          <w:szCs w:val="22"/>
          <w:lang w:val="en-ZA"/>
        </w:rPr>
        <w:tab/>
        <w:t>A municipality must furnish each person liable for the payment of a rate with a written account specifying:</w:t>
      </w:r>
    </w:p>
    <w:p w:rsidR="002431C5" w:rsidRPr="00684DEF" w:rsidRDefault="002431C5" w:rsidP="002431C5">
      <w:pPr>
        <w:pStyle w:val="CM27"/>
        <w:spacing w:line="360" w:lineRule="auto"/>
        <w:ind w:firstLine="720"/>
        <w:jc w:val="both"/>
        <w:rPr>
          <w:rFonts w:ascii="Arial" w:hAnsi="Arial" w:cs="Arial"/>
          <w:noProof/>
          <w:sz w:val="22"/>
          <w:szCs w:val="22"/>
          <w:lang w:val="en-ZA"/>
        </w:rPr>
      </w:pPr>
      <w:r w:rsidRPr="00684DEF">
        <w:rPr>
          <w:rFonts w:ascii="Arial" w:hAnsi="Arial" w:cs="Arial"/>
          <w:noProof/>
          <w:sz w:val="22"/>
          <w:szCs w:val="22"/>
          <w:lang w:val="en-ZA"/>
        </w:rPr>
        <w:t>(a)</w:t>
      </w:r>
      <w:r w:rsidRPr="00684DEF">
        <w:rPr>
          <w:rFonts w:ascii="Arial" w:hAnsi="Arial" w:cs="Arial"/>
          <w:noProof/>
          <w:sz w:val="22"/>
          <w:szCs w:val="22"/>
          <w:lang w:val="en-ZA"/>
        </w:rPr>
        <w:tab/>
        <w:t>the amount due for rates payable;</w:t>
      </w:r>
    </w:p>
    <w:p w:rsidR="002431C5" w:rsidRPr="00684DEF" w:rsidRDefault="002431C5" w:rsidP="002431C5">
      <w:pPr>
        <w:pStyle w:val="CM27"/>
        <w:spacing w:line="360" w:lineRule="auto"/>
        <w:ind w:firstLine="720"/>
        <w:jc w:val="both"/>
        <w:rPr>
          <w:rFonts w:ascii="Arial" w:hAnsi="Arial" w:cs="Arial"/>
          <w:noProof/>
          <w:sz w:val="22"/>
          <w:szCs w:val="22"/>
          <w:lang w:val="en-ZA"/>
        </w:rPr>
      </w:pPr>
      <w:r w:rsidRPr="00684DEF">
        <w:rPr>
          <w:rFonts w:ascii="Arial" w:hAnsi="Arial" w:cs="Arial"/>
          <w:noProof/>
          <w:sz w:val="22"/>
          <w:szCs w:val="22"/>
          <w:lang w:val="en-ZA"/>
        </w:rPr>
        <w:t>(b)</w:t>
      </w:r>
      <w:r w:rsidRPr="00684DEF">
        <w:rPr>
          <w:rFonts w:ascii="Arial" w:hAnsi="Arial" w:cs="Arial"/>
          <w:noProof/>
          <w:sz w:val="22"/>
          <w:szCs w:val="22"/>
          <w:lang w:val="en-ZA"/>
        </w:rPr>
        <w:tab/>
        <w:t>the date on or before which the amount is payable;</w:t>
      </w:r>
    </w:p>
    <w:p w:rsidR="002431C5" w:rsidRPr="00684DEF" w:rsidRDefault="002431C5" w:rsidP="002431C5">
      <w:pPr>
        <w:pStyle w:val="CM27"/>
        <w:spacing w:line="360" w:lineRule="auto"/>
        <w:ind w:firstLine="720"/>
        <w:jc w:val="both"/>
        <w:rPr>
          <w:rFonts w:ascii="Arial" w:hAnsi="Arial" w:cs="Arial"/>
          <w:noProof/>
          <w:sz w:val="22"/>
          <w:szCs w:val="22"/>
          <w:lang w:val="en-ZA"/>
        </w:rPr>
      </w:pPr>
      <w:r w:rsidRPr="00684DEF">
        <w:rPr>
          <w:rFonts w:ascii="Arial" w:hAnsi="Arial" w:cs="Arial"/>
          <w:noProof/>
          <w:sz w:val="22"/>
          <w:szCs w:val="22"/>
          <w:lang w:val="en-ZA"/>
        </w:rPr>
        <w:t>(c)</w:t>
      </w:r>
      <w:r w:rsidRPr="00684DEF">
        <w:rPr>
          <w:rFonts w:ascii="Arial" w:hAnsi="Arial" w:cs="Arial"/>
          <w:noProof/>
          <w:sz w:val="22"/>
          <w:szCs w:val="22"/>
          <w:lang w:val="en-ZA"/>
        </w:rPr>
        <w:tab/>
        <w:t>how the amount was calculated;</w:t>
      </w:r>
    </w:p>
    <w:p w:rsidR="002431C5" w:rsidRPr="00684DEF" w:rsidRDefault="002431C5" w:rsidP="002431C5">
      <w:pPr>
        <w:pStyle w:val="CM27"/>
        <w:spacing w:line="360" w:lineRule="auto"/>
        <w:ind w:firstLine="720"/>
        <w:jc w:val="both"/>
        <w:rPr>
          <w:rFonts w:ascii="Arial" w:hAnsi="Arial" w:cs="Arial"/>
          <w:noProof/>
          <w:sz w:val="22"/>
          <w:szCs w:val="22"/>
          <w:lang w:val="en-ZA"/>
        </w:rPr>
      </w:pPr>
      <w:r w:rsidRPr="00684DEF">
        <w:rPr>
          <w:rFonts w:ascii="Arial" w:hAnsi="Arial" w:cs="Arial"/>
          <w:noProof/>
          <w:sz w:val="22"/>
          <w:szCs w:val="22"/>
          <w:lang w:val="en-ZA"/>
        </w:rPr>
        <w:t>(d)</w:t>
      </w:r>
      <w:r w:rsidRPr="00684DEF">
        <w:rPr>
          <w:rFonts w:ascii="Arial" w:hAnsi="Arial" w:cs="Arial"/>
          <w:noProof/>
          <w:sz w:val="22"/>
          <w:szCs w:val="22"/>
          <w:lang w:val="en-ZA"/>
        </w:rPr>
        <w:tab/>
        <w:t>the market value of the property;</w:t>
      </w:r>
    </w:p>
    <w:p w:rsidR="002431C5" w:rsidRPr="00684DEF" w:rsidRDefault="002431C5" w:rsidP="002431C5">
      <w:pPr>
        <w:pStyle w:val="CM27"/>
        <w:spacing w:line="360" w:lineRule="auto"/>
        <w:ind w:left="1440" w:hanging="720"/>
        <w:jc w:val="both"/>
        <w:rPr>
          <w:rFonts w:ascii="Arial" w:hAnsi="Arial" w:cs="Arial"/>
          <w:noProof/>
          <w:sz w:val="22"/>
          <w:szCs w:val="22"/>
          <w:lang w:val="en-ZA"/>
        </w:rPr>
      </w:pPr>
      <w:r w:rsidRPr="00684DEF">
        <w:rPr>
          <w:rFonts w:ascii="Arial" w:hAnsi="Arial" w:cs="Arial"/>
          <w:noProof/>
          <w:sz w:val="22"/>
          <w:szCs w:val="22"/>
          <w:lang w:val="en-ZA"/>
        </w:rPr>
        <w:t>(e)</w:t>
      </w:r>
      <w:r w:rsidRPr="00684DEF">
        <w:rPr>
          <w:rFonts w:ascii="Arial" w:hAnsi="Arial" w:cs="Arial"/>
          <w:noProof/>
          <w:sz w:val="22"/>
          <w:szCs w:val="22"/>
          <w:lang w:val="en-ZA"/>
        </w:rPr>
        <w:tab/>
        <w:t xml:space="preserve">if the property is subject to any compulsory phasing in discount in terms of Section 21, the amount of the discount, and </w:t>
      </w:r>
    </w:p>
    <w:p w:rsidR="002431C5" w:rsidRPr="00684DEF" w:rsidRDefault="002431C5" w:rsidP="002431C5">
      <w:pPr>
        <w:pStyle w:val="CM27"/>
        <w:spacing w:line="360" w:lineRule="auto"/>
        <w:ind w:left="1440" w:hanging="720"/>
        <w:jc w:val="both"/>
        <w:rPr>
          <w:rFonts w:ascii="Arial" w:hAnsi="Arial" w:cs="Arial"/>
          <w:noProof/>
          <w:sz w:val="22"/>
          <w:szCs w:val="22"/>
          <w:lang w:val="en-ZA"/>
        </w:rPr>
      </w:pPr>
      <w:r w:rsidRPr="00684DEF">
        <w:rPr>
          <w:rFonts w:ascii="Arial" w:hAnsi="Arial" w:cs="Arial"/>
          <w:noProof/>
          <w:sz w:val="22"/>
          <w:szCs w:val="22"/>
          <w:lang w:val="en-ZA"/>
        </w:rPr>
        <w:t>(f)</w:t>
      </w:r>
      <w:r w:rsidRPr="00684DEF">
        <w:rPr>
          <w:rFonts w:ascii="Arial" w:hAnsi="Arial" w:cs="Arial"/>
          <w:noProof/>
          <w:sz w:val="22"/>
          <w:szCs w:val="22"/>
          <w:lang w:val="en-ZA"/>
        </w:rPr>
        <w:tab/>
        <w:t>if the property is subject to any additional rate in terms of Section 22, the amount due for additional rates.</w:t>
      </w:r>
    </w:p>
    <w:p w:rsidR="002431C5" w:rsidRDefault="002431C5" w:rsidP="002431C5">
      <w:pPr>
        <w:pStyle w:val="CM27"/>
        <w:spacing w:line="360" w:lineRule="auto"/>
        <w:jc w:val="both"/>
        <w:rPr>
          <w:rFonts w:ascii="Arial" w:hAnsi="Arial" w:cs="Arial"/>
          <w:noProof/>
          <w:sz w:val="22"/>
          <w:szCs w:val="22"/>
          <w:lang w:val="en-ZA"/>
        </w:rPr>
      </w:pPr>
      <w:r w:rsidRPr="00684DEF">
        <w:rPr>
          <w:rFonts w:ascii="Arial" w:hAnsi="Arial" w:cs="Arial"/>
          <w:noProof/>
          <w:sz w:val="22"/>
          <w:szCs w:val="22"/>
          <w:lang w:val="en-ZA"/>
        </w:rPr>
        <w:t>(1A)</w:t>
      </w:r>
      <w:r w:rsidRPr="00684DEF">
        <w:rPr>
          <w:rFonts w:ascii="Arial" w:hAnsi="Arial" w:cs="Arial"/>
          <w:noProof/>
          <w:sz w:val="22"/>
          <w:szCs w:val="22"/>
          <w:lang w:val="en-ZA"/>
        </w:rPr>
        <w:tab/>
        <w:t>a person liable for a rate must furnish the municipality with an address where correspondence can be directed to</w:t>
      </w:r>
    </w:p>
    <w:p w:rsidR="002431C5" w:rsidRPr="00AC4ABB" w:rsidRDefault="002431C5" w:rsidP="002431C5">
      <w:pPr>
        <w:pStyle w:val="Default"/>
        <w:rPr>
          <w:lang w:val="en-ZA"/>
        </w:rPr>
      </w:pPr>
    </w:p>
    <w:p w:rsidR="002431C5" w:rsidRPr="00300F6E" w:rsidRDefault="002431C5" w:rsidP="002431C5">
      <w:pPr>
        <w:pStyle w:val="CM27"/>
        <w:spacing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person liable for payment of the rates remains liable for such payment whether or not such person has received a written account from the municipality. If the person concerned has not received a written account, that person must make the necessary enquiries from the municipality. </w:t>
      </w:r>
    </w:p>
    <w:p w:rsidR="002431C5"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28: RECOVERY OF RATES IN ARREARS FROM TENANTS AND OCCUPIERS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If an amount due for rates levied in respect of a property is unpaid by 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amount that the municipality may recover from the tenant or occupier is limited to the amount of the rent or other money due or payable, but not yet paid, by such tenant or occupier to the owner of the property.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29: RECOVERY OF RATES FROM AGENTS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may recover the amount due for rates on a property in whole or in part from the agent of the owner, if this is more convenient for the municipality, but only after the municipality has served a written notice on the agent in this regard.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The amount that the municipality may recover from the agent is limited to the amount of any rent or other money received by the agent on behalf of the owner, less any commission due to the agent.</w:t>
      </w: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30: GENERAL VALUATION AND PREPARATION OF VALUATION ROLLS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municipality intending to levy a rate on property must cause</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a general valuation to be made of all properties in the municipality, and</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must prepare a valuation roll of all properties in terms of such valuation.</w:t>
      </w:r>
    </w:p>
    <w:p w:rsidR="002431C5" w:rsidRPr="00300F6E" w:rsidRDefault="002431C5" w:rsidP="002431C5">
      <w:pPr>
        <w:pStyle w:val="CM28"/>
        <w:spacing w:after="0" w:line="360" w:lineRule="auto"/>
        <w:ind w:left="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All rateable properties in a municipal area must be valued during such general valuation, including all properties fully or partially excluded from rates in terms of Section 17 of the present Act. However, </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if the municipality does not intend to levy rates on its own property, on public service infrastructure owned by a municipal entity, on rights in properties, and on properties in respect of which it is impossible or unreasonably difficult to establish a market value, the municipality is not obliged to value such properties as part of the valuation process.</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A municipality may also apply to the Minister for exemption from the obligation to value properties excluded from rates in terms of Section 17 if the municipality can demonstrate that the valuation of such properties is too onerous for it, given its financial and administrative capacity.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(3)</w:t>
      </w:r>
      <w:r w:rsidRPr="00300F6E">
        <w:rPr>
          <w:rFonts w:ascii="Arial" w:hAnsi="Arial" w:cs="Arial"/>
          <w:noProof/>
          <w:sz w:val="22"/>
          <w:szCs w:val="22"/>
          <w:lang w:val="en-ZA"/>
        </w:rPr>
        <w:tab/>
        <w:t>Properties which have not been valued, because of any of the foregoing considerations, must nevertheless be included in the valuation roll.</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31: DATE OF VALUATION </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For the purposes of a general valuation a municipality must determine a date that may be not more than 12 months before the start of the financial year in which the valuation roll is to be first implemented.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 xml:space="preserve">The general valuation must reflect the market values of properties in accordance with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 xml:space="preserve">market conditions which apply as at the date of the valuation, and </w:t>
      </w:r>
    </w:p>
    <w:p w:rsidR="002431C5" w:rsidRPr="00300F6E" w:rsidRDefault="002431C5" w:rsidP="002431C5">
      <w:pPr>
        <w:pStyle w:val="CM28"/>
        <w:spacing w:after="0" w:line="360" w:lineRule="auto"/>
        <w:ind w:firstLine="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 xml:space="preserve">in accordance with any other applicable provisions of the present Act.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32: COMMENCEMENT AND PERIOD OF VALIDITY OF VALUATION ROLLS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A valuation roll</w:t>
      </w:r>
    </w:p>
    <w:p w:rsidR="002431C5" w:rsidRPr="00300F6E"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(a)</w:t>
      </w:r>
      <w:r w:rsidRPr="00300F6E">
        <w:rPr>
          <w:rFonts w:ascii="Arial" w:hAnsi="Arial" w:cs="Arial"/>
          <w:noProof/>
          <w:sz w:val="22"/>
          <w:szCs w:val="22"/>
          <w:lang w:val="en-ZA"/>
        </w:rPr>
        <w:tab/>
        <w:t>takes effect from the start of the financial year following completion of the public inspection period required by the present Act, and</w:t>
      </w:r>
    </w:p>
    <w:p w:rsidR="002431C5" w:rsidRDefault="002431C5" w:rsidP="002431C5">
      <w:pPr>
        <w:pStyle w:val="CM28"/>
        <w:spacing w:after="0" w:line="360" w:lineRule="auto"/>
        <w:ind w:left="1440" w:hanging="720"/>
        <w:jc w:val="both"/>
        <w:rPr>
          <w:rFonts w:ascii="Arial" w:hAnsi="Arial" w:cs="Arial"/>
          <w:noProof/>
          <w:sz w:val="22"/>
          <w:szCs w:val="22"/>
          <w:lang w:val="en-ZA"/>
        </w:rPr>
      </w:pPr>
      <w:r w:rsidRPr="00300F6E">
        <w:rPr>
          <w:rFonts w:ascii="Arial" w:hAnsi="Arial" w:cs="Arial"/>
          <w:noProof/>
          <w:sz w:val="22"/>
          <w:szCs w:val="22"/>
          <w:lang w:val="en-ZA"/>
        </w:rPr>
        <w:t>(b)</w:t>
      </w:r>
      <w:r w:rsidRPr="00300F6E">
        <w:rPr>
          <w:rFonts w:ascii="Arial" w:hAnsi="Arial" w:cs="Arial"/>
          <w:noProof/>
          <w:sz w:val="22"/>
          <w:szCs w:val="22"/>
          <w:lang w:val="en-ZA"/>
        </w:rPr>
        <w:tab/>
        <w:t>remains valid for that financial year or for one or more subsequent financial years, as the municipality may decide, but in total not for more than four financial years.</w:t>
      </w:r>
    </w:p>
    <w:p w:rsidR="002431C5" w:rsidRPr="00300F6E" w:rsidRDefault="002431C5" w:rsidP="002431C5">
      <w:pPr>
        <w:pStyle w:val="CM28"/>
        <w:spacing w:after="0" w:line="360" w:lineRule="auto"/>
        <w:ind w:left="709" w:hanging="709"/>
        <w:jc w:val="both"/>
        <w:rPr>
          <w:rFonts w:ascii="Arial" w:hAnsi="Arial" w:cs="Arial"/>
          <w:noProof/>
          <w:sz w:val="22"/>
          <w:szCs w:val="22"/>
          <w:lang w:val="en-ZA"/>
        </w:rPr>
      </w:pPr>
      <w:r w:rsidRPr="00300F6E">
        <w:rPr>
          <w:rFonts w:ascii="Arial" w:hAnsi="Arial" w:cs="Arial"/>
          <w:noProof/>
          <w:sz w:val="22"/>
          <w:szCs w:val="22"/>
          <w:lang w:val="en-ZA"/>
        </w:rPr>
        <w:t>(2)</w:t>
      </w:r>
      <w:r w:rsidRPr="00300F6E">
        <w:rPr>
          <w:rFonts w:ascii="Arial" w:hAnsi="Arial" w:cs="Arial"/>
          <w:noProof/>
          <w:sz w:val="22"/>
          <w:szCs w:val="22"/>
          <w:lang w:val="en-ZA"/>
        </w:rPr>
        <w:tab/>
        <w:t>provides for the extension of the period of validity of the valuation roll by the MEC for Local Government, but only up to a period of five financial years, and only in specified circumstances.</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46: GENERAL BASIS OF VALUATION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The market value of a property is the amount the property would have realized if sold on the date of valuation in the open market by a willing seller to a willing buyer. </w:t>
      </w:r>
    </w:p>
    <w:p w:rsidR="002431C5" w:rsidRPr="00300F6E" w:rsidRDefault="002431C5" w:rsidP="002431C5">
      <w:pPr>
        <w:pStyle w:val="Default"/>
        <w:spacing w:line="360" w:lineRule="auto"/>
        <w:jc w:val="both"/>
        <w:rPr>
          <w:rFonts w:ascii="Arial" w:hAnsi="Arial" w:cs="Arial"/>
          <w:noProof/>
          <w:color w:val="auto"/>
          <w:sz w:val="22"/>
          <w:szCs w:val="22"/>
          <w:lang w:val="en-ZA"/>
        </w:rPr>
      </w:pP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47: VALUATION OF PROPERTY IN SECTIONAL TITLE SCHEMES </w:t>
      </w:r>
    </w:p>
    <w:p w:rsidR="002431C5" w:rsidRPr="00300F6E" w:rsidRDefault="002431C5" w:rsidP="002431C5">
      <w:pPr>
        <w:pStyle w:val="CM28"/>
        <w:spacing w:after="0" w:line="360" w:lineRule="auto"/>
        <w:jc w:val="both"/>
        <w:rPr>
          <w:rFonts w:ascii="Arial" w:hAnsi="Arial" w:cs="Arial"/>
          <w:noProof/>
          <w:sz w:val="22"/>
          <w:szCs w:val="22"/>
          <w:lang w:val="en-ZA"/>
        </w:rPr>
      </w:pP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When valuing a property which is subject to a sectional title scheme, the valuer must determine the market value of each sectional title unit in the scheme.</w:t>
      </w:r>
    </w:p>
    <w:p w:rsidR="002431C5" w:rsidRPr="00300F6E" w:rsidRDefault="002431C5" w:rsidP="002431C5">
      <w:pPr>
        <w:pStyle w:val="CM28"/>
        <w:spacing w:after="0"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 xml:space="preserve"> </w:t>
      </w:r>
    </w:p>
    <w:p w:rsidR="002431C5" w:rsidRPr="00300F6E" w:rsidRDefault="002431C5" w:rsidP="002431C5">
      <w:pPr>
        <w:pStyle w:val="CM20"/>
        <w:spacing w:line="360" w:lineRule="auto"/>
        <w:jc w:val="both"/>
        <w:rPr>
          <w:rFonts w:ascii="Arial" w:hAnsi="Arial" w:cs="Arial"/>
          <w:b/>
          <w:noProof/>
          <w:sz w:val="22"/>
          <w:szCs w:val="22"/>
          <w:lang w:val="en-ZA"/>
        </w:rPr>
      </w:pPr>
      <w:r w:rsidRPr="00300F6E">
        <w:rPr>
          <w:rFonts w:ascii="Arial" w:hAnsi="Arial" w:cs="Arial"/>
          <w:b/>
          <w:noProof/>
          <w:sz w:val="22"/>
          <w:szCs w:val="22"/>
          <w:lang w:val="en-ZA"/>
        </w:rPr>
        <w:t xml:space="preserve">SECTION 77: GENERAL </w:t>
      </w:r>
    </w:p>
    <w:p w:rsidR="002431C5" w:rsidRPr="00300F6E" w:rsidRDefault="002431C5" w:rsidP="002431C5">
      <w:pPr>
        <w:pStyle w:val="CM20"/>
        <w:spacing w:line="360" w:lineRule="auto"/>
        <w:jc w:val="both"/>
        <w:rPr>
          <w:rFonts w:ascii="Arial" w:hAnsi="Arial" w:cs="Arial"/>
          <w:noProof/>
          <w:sz w:val="22"/>
          <w:szCs w:val="22"/>
          <w:lang w:val="en-ZA"/>
        </w:rPr>
      </w:pPr>
    </w:p>
    <w:p w:rsidR="002431C5" w:rsidRPr="00300F6E" w:rsidRDefault="002431C5" w:rsidP="002431C5">
      <w:pPr>
        <w:pStyle w:val="CM20"/>
        <w:spacing w:line="360" w:lineRule="auto"/>
        <w:ind w:left="720" w:hanging="720"/>
        <w:jc w:val="both"/>
        <w:rPr>
          <w:rFonts w:ascii="Arial" w:hAnsi="Arial" w:cs="Arial"/>
          <w:noProof/>
          <w:sz w:val="22"/>
          <w:szCs w:val="22"/>
          <w:lang w:val="en-ZA"/>
        </w:rPr>
      </w:pPr>
      <w:r w:rsidRPr="00300F6E">
        <w:rPr>
          <w:rFonts w:ascii="Arial" w:hAnsi="Arial" w:cs="Arial"/>
          <w:noProof/>
          <w:sz w:val="22"/>
          <w:szCs w:val="22"/>
          <w:lang w:val="en-ZA"/>
        </w:rPr>
        <w:t>(1)</w:t>
      </w:r>
      <w:r w:rsidRPr="00300F6E">
        <w:rPr>
          <w:rFonts w:ascii="Arial" w:hAnsi="Arial" w:cs="Arial"/>
          <w:noProof/>
          <w:sz w:val="22"/>
          <w:szCs w:val="22"/>
          <w:lang w:val="en-ZA"/>
        </w:rPr>
        <w:tab/>
        <w:t xml:space="preserve">A municipality must regularly, but where practically possible atleast once a year, update its valuation roll by causing a supplementary valuation roll to be prepared, or the valuation roll itself to be amended. </w:t>
      </w:r>
    </w:p>
    <w:p w:rsidR="002431C5" w:rsidRPr="00300F6E" w:rsidRDefault="002431C5" w:rsidP="002431C5">
      <w:pPr>
        <w:pStyle w:val="Default"/>
        <w:jc w:val="center"/>
        <w:rPr>
          <w:noProof/>
          <w:sz w:val="22"/>
          <w:szCs w:val="22"/>
          <w:lang w:val="en-ZA"/>
        </w:rPr>
      </w:pPr>
      <w:r w:rsidRPr="00300F6E">
        <w:rPr>
          <w:noProof/>
          <w:color w:val="auto"/>
          <w:sz w:val="22"/>
          <w:szCs w:val="22"/>
          <w:lang w:val="en-ZA"/>
        </w:rPr>
        <w:t>****************</w:t>
      </w:r>
      <w:r w:rsidRPr="00300F6E">
        <w:rPr>
          <w:noProof/>
          <w:sz w:val="22"/>
          <w:szCs w:val="22"/>
          <w:lang w:val="en-ZA"/>
        </w:rPr>
        <w:t>**************</w:t>
      </w:r>
    </w:p>
    <w:p w:rsidR="008A4C72" w:rsidRDefault="008A4C72"/>
    <w:sectPr w:rsidR="008A4C72" w:rsidSect="00AD6EFB">
      <w:footerReference w:type="default" r:id="rId7"/>
      <w:footerReference w:type="first" r:id="rId8"/>
      <w:pgSz w:w="11907" w:h="16840" w:code="9"/>
      <w:pgMar w:top="1134" w:right="1017"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71" w:rsidRDefault="00BC4A71">
      <w:r>
        <w:separator/>
      </w:r>
    </w:p>
  </w:endnote>
  <w:endnote w:type="continuationSeparator" w:id="0">
    <w:p w:rsidR="00BC4A71" w:rsidRDefault="00BC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FEO L+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BD" w:rsidRPr="00026BAB" w:rsidRDefault="00DC3886" w:rsidP="00DB11B4">
    <w:pPr>
      <w:pStyle w:val="Footer"/>
      <w:pBdr>
        <w:bottom w:val="single" w:sz="12" w:space="1" w:color="auto"/>
      </w:pBdr>
      <w:rPr>
        <w:rFonts w:ascii="Arial" w:hAnsi="Arial" w:cs="Arial"/>
        <w:color w:val="000080"/>
        <w:sz w:val="16"/>
        <w:szCs w:val="16"/>
      </w:rPr>
    </w:pPr>
  </w:p>
  <w:p w:rsidR="006E12BD" w:rsidRPr="00CE155E" w:rsidRDefault="008156D2" w:rsidP="00DB11B4">
    <w:pPr>
      <w:pStyle w:val="Footer"/>
      <w:rPr>
        <w:rFonts w:ascii="Arial" w:hAnsi="Arial" w:cs="Arial"/>
        <w:b/>
        <w:color w:val="000080"/>
        <w:sz w:val="20"/>
        <w:szCs w:val="20"/>
      </w:rPr>
    </w:pPr>
    <w:r w:rsidRPr="00DB11B4">
      <w:rPr>
        <w:rFonts w:ascii="Arial" w:hAnsi="Arial" w:cs="Arial"/>
        <w:sz w:val="20"/>
        <w:szCs w:val="20"/>
      </w:rPr>
      <w:tab/>
    </w:r>
    <w:r w:rsidRPr="00CE155E">
      <w:rPr>
        <w:rFonts w:ascii="Arial" w:hAnsi="Arial" w:cs="Arial"/>
        <w:b/>
        <w:color w:val="000080"/>
        <w:sz w:val="20"/>
        <w:szCs w:val="20"/>
      </w:rPr>
      <w:t xml:space="preserve">A - </w:t>
    </w:r>
    <w:r w:rsidRPr="00CE155E">
      <w:rPr>
        <w:rStyle w:val="PageNumber"/>
        <w:rFonts w:ascii="Arial" w:hAnsi="Arial" w:cs="Arial"/>
        <w:b/>
        <w:color w:val="000080"/>
        <w:sz w:val="20"/>
        <w:szCs w:val="20"/>
      </w:rPr>
      <w:fldChar w:fldCharType="begin"/>
    </w:r>
    <w:r w:rsidRPr="00CE155E">
      <w:rPr>
        <w:rStyle w:val="PageNumber"/>
        <w:rFonts w:ascii="Arial" w:hAnsi="Arial" w:cs="Arial"/>
        <w:b/>
        <w:color w:val="000080"/>
        <w:sz w:val="20"/>
        <w:szCs w:val="20"/>
      </w:rPr>
      <w:instrText xml:space="preserve"> PAGE </w:instrText>
    </w:r>
    <w:r w:rsidRPr="00CE155E">
      <w:rPr>
        <w:rStyle w:val="PageNumber"/>
        <w:rFonts w:ascii="Arial" w:hAnsi="Arial" w:cs="Arial"/>
        <w:b/>
        <w:color w:val="000080"/>
        <w:sz w:val="20"/>
        <w:szCs w:val="20"/>
      </w:rPr>
      <w:fldChar w:fldCharType="separate"/>
    </w:r>
    <w:r w:rsidR="00DC3886">
      <w:rPr>
        <w:rStyle w:val="PageNumber"/>
        <w:rFonts w:ascii="Arial" w:hAnsi="Arial" w:cs="Arial"/>
        <w:b/>
        <w:color w:val="000080"/>
        <w:sz w:val="20"/>
        <w:szCs w:val="20"/>
      </w:rPr>
      <w:t>15</w:t>
    </w:r>
    <w:r w:rsidRPr="00CE155E">
      <w:rPr>
        <w:rStyle w:val="PageNumber"/>
        <w:rFonts w:ascii="Arial" w:hAnsi="Arial" w:cs="Arial"/>
        <w:b/>
        <w:color w:val="000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BD" w:rsidRPr="00026BAB" w:rsidRDefault="00DC3886" w:rsidP="00DB11B4">
    <w:pPr>
      <w:pStyle w:val="Footer"/>
      <w:pBdr>
        <w:bottom w:val="single" w:sz="12" w:space="1" w:color="auto"/>
      </w:pBdr>
      <w:rPr>
        <w:rFonts w:ascii="Arial" w:hAnsi="Arial" w:cs="Arial"/>
        <w:color w:val="000080"/>
        <w:sz w:val="16"/>
        <w:szCs w:val="16"/>
      </w:rPr>
    </w:pPr>
  </w:p>
  <w:p w:rsidR="006E12BD" w:rsidRPr="00B95151" w:rsidRDefault="008156D2" w:rsidP="00DB11B4">
    <w:pPr>
      <w:pStyle w:val="Footer"/>
      <w:rPr>
        <w:rFonts w:ascii="Arial" w:hAnsi="Arial" w:cs="Arial"/>
        <w:b/>
        <w:color w:val="000080"/>
        <w:sz w:val="20"/>
        <w:szCs w:val="20"/>
      </w:rPr>
    </w:pPr>
    <w:r w:rsidRPr="00DB11B4">
      <w:rPr>
        <w:rFonts w:ascii="Arial" w:hAnsi="Arial" w:cs="Arial"/>
        <w:sz w:val="20"/>
        <w:szCs w:val="20"/>
      </w:rPr>
      <w:tab/>
    </w:r>
    <w:r w:rsidRPr="00B95151">
      <w:rPr>
        <w:rFonts w:ascii="Arial" w:hAnsi="Arial" w:cs="Arial"/>
        <w:b/>
        <w:color w:val="000080"/>
        <w:sz w:val="20"/>
        <w:szCs w:val="20"/>
      </w:rPr>
      <w:t xml:space="preserve">A - </w:t>
    </w:r>
    <w:r w:rsidRPr="00B95151">
      <w:rPr>
        <w:rStyle w:val="PageNumber"/>
        <w:rFonts w:ascii="Arial" w:hAnsi="Arial" w:cs="Arial"/>
        <w:b/>
        <w:color w:val="000080"/>
        <w:sz w:val="20"/>
        <w:szCs w:val="20"/>
      </w:rPr>
      <w:fldChar w:fldCharType="begin"/>
    </w:r>
    <w:r w:rsidRPr="00B95151">
      <w:rPr>
        <w:rStyle w:val="PageNumber"/>
        <w:rFonts w:ascii="Arial" w:hAnsi="Arial" w:cs="Arial"/>
        <w:b/>
        <w:color w:val="000080"/>
        <w:sz w:val="20"/>
        <w:szCs w:val="20"/>
      </w:rPr>
      <w:instrText xml:space="preserve"> PAGE </w:instrText>
    </w:r>
    <w:r w:rsidRPr="00B95151">
      <w:rPr>
        <w:rStyle w:val="PageNumber"/>
        <w:rFonts w:ascii="Arial" w:hAnsi="Arial" w:cs="Arial"/>
        <w:b/>
        <w:color w:val="000080"/>
        <w:sz w:val="20"/>
        <w:szCs w:val="20"/>
      </w:rPr>
      <w:fldChar w:fldCharType="separate"/>
    </w:r>
    <w:r w:rsidR="00DC3886">
      <w:rPr>
        <w:rStyle w:val="PageNumber"/>
        <w:rFonts w:ascii="Arial" w:hAnsi="Arial" w:cs="Arial"/>
        <w:b/>
        <w:color w:val="000080"/>
        <w:sz w:val="20"/>
        <w:szCs w:val="20"/>
      </w:rPr>
      <w:t>1</w:t>
    </w:r>
    <w:r w:rsidRPr="00B95151">
      <w:rPr>
        <w:rStyle w:val="PageNumber"/>
        <w:rFonts w:ascii="Arial" w:hAnsi="Arial" w:cs="Arial"/>
        <w:b/>
        <w:color w:val="000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71" w:rsidRDefault="00BC4A71">
      <w:r>
        <w:separator/>
      </w:r>
    </w:p>
  </w:footnote>
  <w:footnote w:type="continuationSeparator" w:id="0">
    <w:p w:rsidR="00BC4A71" w:rsidRDefault="00BC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808"/>
    <w:multiLevelType w:val="hybridMultilevel"/>
    <w:tmpl w:val="0B94A9EC"/>
    <w:lvl w:ilvl="0" w:tplc="3E2A28BC">
      <w:start w:val="1"/>
      <w:numFmt w:val="lowerRoman"/>
      <w:lvlText w:val="%1."/>
      <w:lvlJc w:val="left"/>
      <w:pPr>
        <w:tabs>
          <w:tab w:val="num" w:pos="2160"/>
        </w:tabs>
        <w:ind w:left="2160" w:hanging="720"/>
      </w:pPr>
      <w:rPr>
        <w:rFonts w:hint="default"/>
      </w:rPr>
    </w:lvl>
    <w:lvl w:ilvl="1" w:tplc="30D49560">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10F06ED"/>
    <w:multiLevelType w:val="hybridMultilevel"/>
    <w:tmpl w:val="AE36C518"/>
    <w:lvl w:ilvl="0" w:tplc="9176BF7E">
      <w:start w:val="5"/>
      <w:numFmt w:val="lowerLetter"/>
      <w:lvlText w:val="(%1)"/>
      <w:lvlJc w:val="left"/>
      <w:pPr>
        <w:tabs>
          <w:tab w:val="num" w:pos="1440"/>
        </w:tabs>
        <w:ind w:left="1440" w:hanging="720"/>
      </w:pPr>
      <w:rPr>
        <w:rFonts w:hint="default"/>
      </w:rPr>
    </w:lvl>
    <w:lvl w:ilvl="1" w:tplc="D8966D0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9B7703"/>
    <w:multiLevelType w:val="hybridMultilevel"/>
    <w:tmpl w:val="35C410E0"/>
    <w:lvl w:ilvl="0" w:tplc="D4EE3E94">
      <w:start w:val="2"/>
      <w:numFmt w:val="lowerRoman"/>
      <w:lvlText w:val="%1."/>
      <w:lvlJc w:val="left"/>
      <w:pPr>
        <w:tabs>
          <w:tab w:val="num" w:pos="2160"/>
        </w:tabs>
        <w:ind w:left="2160" w:hanging="720"/>
      </w:pPr>
      <w:rPr>
        <w:rFonts w:hint="default"/>
      </w:rPr>
    </w:lvl>
    <w:lvl w:ilvl="1" w:tplc="E752CD10">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5A925E6"/>
    <w:multiLevelType w:val="hybridMultilevel"/>
    <w:tmpl w:val="6E6805B2"/>
    <w:lvl w:ilvl="0" w:tplc="9690A3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1B7489"/>
    <w:multiLevelType w:val="hybridMultilevel"/>
    <w:tmpl w:val="CE426DC4"/>
    <w:lvl w:ilvl="0" w:tplc="747401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E627E5D"/>
    <w:multiLevelType w:val="hybridMultilevel"/>
    <w:tmpl w:val="28CC5E9A"/>
    <w:lvl w:ilvl="0" w:tplc="903A650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C8425A"/>
    <w:multiLevelType w:val="hybridMultilevel"/>
    <w:tmpl w:val="96EEAF56"/>
    <w:lvl w:ilvl="0" w:tplc="1AC69268">
      <w:start w:val="1"/>
      <w:numFmt w:val="lowerRoman"/>
      <w:lvlText w:val="%1."/>
      <w:lvlJc w:val="left"/>
      <w:pPr>
        <w:tabs>
          <w:tab w:val="num" w:pos="2160"/>
        </w:tabs>
        <w:ind w:left="2160" w:hanging="720"/>
      </w:pPr>
      <w:rPr>
        <w:rFonts w:ascii="Arial" w:eastAsia="Times New Roman" w:hAnsi="Arial" w:cs="Arial" w:hint="default"/>
      </w:rPr>
    </w:lvl>
    <w:lvl w:ilvl="1" w:tplc="41A0032C">
      <w:start w:val="27"/>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C5"/>
    <w:rsid w:val="00031E12"/>
    <w:rsid w:val="002431C5"/>
    <w:rsid w:val="00684DEF"/>
    <w:rsid w:val="008156D2"/>
    <w:rsid w:val="008A4C72"/>
    <w:rsid w:val="00BC4A71"/>
    <w:rsid w:val="00DC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35C0-3F39-457A-BB76-3841B717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C5"/>
    <w:pPr>
      <w:widowControl w:val="0"/>
      <w:autoSpaceDE w:val="0"/>
      <w:autoSpaceDN w:val="0"/>
      <w:adjustRightInd w:val="0"/>
      <w:spacing w:after="0" w:line="240" w:lineRule="auto"/>
    </w:pPr>
    <w:rPr>
      <w:rFonts w:ascii="Times New Roman" w:eastAsia="Times New Roman" w:hAnsi="Times New Roman" w:cs="Times New Roman"/>
      <w:noProo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1C5"/>
    <w:pPr>
      <w:widowControl w:val="0"/>
      <w:autoSpaceDE w:val="0"/>
      <w:autoSpaceDN w:val="0"/>
      <w:adjustRightInd w:val="0"/>
      <w:spacing w:after="0" w:line="240" w:lineRule="auto"/>
    </w:pPr>
    <w:rPr>
      <w:rFonts w:ascii="APFEO L+ Helvetica" w:eastAsia="Times New Roman" w:hAnsi="APFEO L+ Helvetica" w:cs="APFEO L+ Helvetica"/>
      <w:color w:val="000000"/>
      <w:sz w:val="24"/>
      <w:szCs w:val="24"/>
    </w:rPr>
  </w:style>
  <w:style w:type="paragraph" w:customStyle="1" w:styleId="CM28">
    <w:name w:val="CM28"/>
    <w:basedOn w:val="Default"/>
    <w:next w:val="Default"/>
    <w:rsid w:val="002431C5"/>
    <w:pPr>
      <w:spacing w:after="268"/>
    </w:pPr>
    <w:rPr>
      <w:color w:val="auto"/>
    </w:rPr>
  </w:style>
  <w:style w:type="paragraph" w:customStyle="1" w:styleId="CM20">
    <w:name w:val="CM20"/>
    <w:basedOn w:val="Default"/>
    <w:next w:val="Default"/>
    <w:rsid w:val="002431C5"/>
    <w:pPr>
      <w:spacing w:line="276" w:lineRule="atLeast"/>
    </w:pPr>
    <w:rPr>
      <w:color w:val="auto"/>
    </w:rPr>
  </w:style>
  <w:style w:type="paragraph" w:customStyle="1" w:styleId="CM33">
    <w:name w:val="CM33"/>
    <w:basedOn w:val="Default"/>
    <w:next w:val="Default"/>
    <w:rsid w:val="002431C5"/>
    <w:pPr>
      <w:spacing w:after="553"/>
    </w:pPr>
    <w:rPr>
      <w:color w:val="auto"/>
    </w:rPr>
  </w:style>
  <w:style w:type="paragraph" w:customStyle="1" w:styleId="CM27">
    <w:name w:val="CM27"/>
    <w:basedOn w:val="Default"/>
    <w:next w:val="Default"/>
    <w:rsid w:val="002431C5"/>
    <w:pPr>
      <w:spacing w:line="276" w:lineRule="atLeast"/>
    </w:pPr>
    <w:rPr>
      <w:color w:val="auto"/>
    </w:rPr>
  </w:style>
  <w:style w:type="paragraph" w:styleId="Footer">
    <w:name w:val="footer"/>
    <w:basedOn w:val="Normal"/>
    <w:link w:val="FooterChar"/>
    <w:rsid w:val="002431C5"/>
    <w:pPr>
      <w:tabs>
        <w:tab w:val="center" w:pos="4320"/>
        <w:tab w:val="right" w:pos="8640"/>
      </w:tabs>
    </w:pPr>
  </w:style>
  <w:style w:type="character" w:customStyle="1" w:styleId="FooterChar">
    <w:name w:val="Footer Char"/>
    <w:basedOn w:val="DefaultParagraphFont"/>
    <w:link w:val="Footer"/>
    <w:rsid w:val="002431C5"/>
    <w:rPr>
      <w:rFonts w:ascii="Times New Roman" w:eastAsia="Times New Roman" w:hAnsi="Times New Roman" w:cs="Times New Roman"/>
      <w:noProof/>
      <w:sz w:val="24"/>
      <w:szCs w:val="24"/>
      <w:lang w:val="en-ZA"/>
    </w:rPr>
  </w:style>
  <w:style w:type="character" w:styleId="PageNumber">
    <w:name w:val="page number"/>
    <w:basedOn w:val="DefaultParagraphFont"/>
    <w:rsid w:val="0024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Mdluli</dc:creator>
  <cp:keywords/>
  <dc:description/>
  <cp:lastModifiedBy>Ndivhuho Tshishonga</cp:lastModifiedBy>
  <cp:revision>4</cp:revision>
  <dcterms:created xsi:type="dcterms:W3CDTF">2017-05-27T08:26:00Z</dcterms:created>
  <dcterms:modified xsi:type="dcterms:W3CDTF">2018-03-19T07:20:00Z</dcterms:modified>
</cp:coreProperties>
</file>